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B1" w:rsidRPr="00EE1A4B" w:rsidRDefault="00361AB1" w:rsidP="00361AB1">
      <w:pPr>
        <w:jc w:val="right"/>
      </w:pPr>
      <w:r w:rsidRPr="00EE1A4B">
        <w:t>_________________________(ФИО)</w:t>
      </w:r>
    </w:p>
    <w:p w:rsidR="00361AB1" w:rsidRPr="00EE1A4B" w:rsidRDefault="00361AB1" w:rsidP="00361AB1">
      <w:pPr>
        <w:jc w:val="right"/>
      </w:pPr>
      <w:r w:rsidRPr="00EE1A4B">
        <w:t xml:space="preserve">гр._______________________________ </w:t>
      </w:r>
    </w:p>
    <w:p w:rsidR="00361AB1" w:rsidRPr="00EE1A4B" w:rsidRDefault="00361AB1" w:rsidP="00361AB1">
      <w:pPr>
        <w:jc w:val="both"/>
      </w:pPr>
    </w:p>
    <w:p w:rsidR="00361AB1" w:rsidRPr="00EE1A4B" w:rsidRDefault="00361AB1" w:rsidP="00361AB1">
      <w:pPr>
        <w:jc w:val="center"/>
      </w:pPr>
      <w:r w:rsidRPr="00EE1A4B">
        <w:t>Зачетная работа по дисциплине «Стратегический маркетинг»</w:t>
      </w:r>
    </w:p>
    <w:p w:rsidR="00361AB1" w:rsidRPr="00EE1A4B" w:rsidRDefault="00361AB1">
      <w:pPr>
        <w:rPr>
          <w:rFonts w:ascii="Segoe UI" w:hAnsi="Segoe UI" w:cs="Segoe UI"/>
          <w:shd w:val="clear" w:color="auto" w:fill="FFFFFF"/>
        </w:rPr>
      </w:pPr>
    </w:p>
    <w:p w:rsidR="00361AB1" w:rsidRPr="00EE1A4B" w:rsidRDefault="00361AB1" w:rsidP="00343092">
      <w:pPr>
        <w:pStyle w:val="a3"/>
        <w:numPr>
          <w:ilvl w:val="0"/>
          <w:numId w:val="1"/>
        </w:numPr>
        <w:ind w:left="0" w:firstLine="709"/>
        <w:jc w:val="both"/>
        <w:rPr>
          <w:rFonts w:eastAsia="Calibri"/>
        </w:rPr>
      </w:pPr>
      <w:r w:rsidRPr="00EE1A4B">
        <w:rPr>
          <w:rFonts w:eastAsia="Calibri"/>
        </w:rPr>
        <w:t>Дайте определение понятий и объясните, как соотносятся стратег</w:t>
      </w:r>
      <w:r w:rsidR="00343092" w:rsidRPr="00EE1A4B">
        <w:rPr>
          <w:rFonts w:eastAsia="Calibri"/>
        </w:rPr>
        <w:t>ический и тактический маркетинг</w:t>
      </w:r>
    </w:p>
    <w:p w:rsidR="00361AB1" w:rsidRPr="00EE1A4B" w:rsidRDefault="00361AB1" w:rsidP="00343092">
      <w:pPr>
        <w:pStyle w:val="a3"/>
        <w:ind w:left="0" w:firstLine="709"/>
        <w:jc w:val="both"/>
        <w:rPr>
          <w:rFonts w:eastAsia="Calibri"/>
        </w:rPr>
      </w:pPr>
    </w:p>
    <w:p w:rsidR="00361AB1" w:rsidRPr="00EE1A4B" w:rsidRDefault="00361AB1" w:rsidP="00343092">
      <w:pPr>
        <w:pStyle w:val="a3"/>
        <w:ind w:left="0" w:firstLine="709"/>
        <w:jc w:val="both"/>
      </w:pPr>
      <w:r w:rsidRPr="00EE1A4B">
        <w:rPr>
          <w:rFonts w:eastAsia="Calibri"/>
        </w:rPr>
        <w:t>Для понимания отличий и сходств стратегического и тактического маркетинга приведем терминологию данных понятий. Так, под с</w:t>
      </w:r>
      <w:r w:rsidRPr="00EE1A4B">
        <w:t>тратегическим маркетингом понимается регулярный и всеобъемлющий мониторинг и анализ тенденций и потребностей различных групп покупателей и усилий конкурирующих компаний; разработка концепций наиболее эффективных товаров или услуг, максимально адаптированных к различным требованиям, которая позволяет компании обеспечить более высокий уровень удовлетворенности потребителей и собственной конкурентоспособности</w:t>
      </w:r>
      <w:r w:rsidR="000C4E46" w:rsidRPr="00EE1A4B">
        <w:t>.</w:t>
      </w:r>
      <w:r w:rsidR="000C4E46" w:rsidRPr="00EE1A4B">
        <w:rPr>
          <w:rStyle w:val="aa"/>
        </w:rPr>
        <w:footnoteReference w:id="1"/>
      </w:r>
    </w:p>
    <w:p w:rsidR="00D83FC9" w:rsidRPr="00EE1A4B" w:rsidRDefault="00D83FC9" w:rsidP="00343092">
      <w:pPr>
        <w:pStyle w:val="a3"/>
        <w:ind w:left="0" w:firstLine="709"/>
        <w:jc w:val="both"/>
        <w:rPr>
          <w:rFonts w:eastAsia="Calibri"/>
        </w:rPr>
      </w:pPr>
      <w:r w:rsidRPr="00EE1A4B">
        <w:rPr>
          <w:bCs/>
          <w:shd w:val="clear" w:color="auto" w:fill="FFFFFF"/>
        </w:rPr>
        <w:t>Целью</w:t>
      </w:r>
      <w:r w:rsidRPr="00EE1A4B">
        <w:rPr>
          <w:shd w:val="clear" w:color="auto" w:fill="FFFFFF"/>
        </w:rPr>
        <w:t> </w:t>
      </w:r>
      <w:r w:rsidRPr="00EE1A4B">
        <w:rPr>
          <w:bCs/>
          <w:shd w:val="clear" w:color="auto" w:fill="FFFFFF"/>
        </w:rPr>
        <w:t>стратегического</w:t>
      </w:r>
      <w:r w:rsidRPr="00EE1A4B">
        <w:rPr>
          <w:shd w:val="clear" w:color="auto" w:fill="FFFFFF"/>
        </w:rPr>
        <w:t> </w:t>
      </w:r>
      <w:r w:rsidRPr="00EE1A4B">
        <w:rPr>
          <w:bCs/>
          <w:shd w:val="clear" w:color="auto" w:fill="FFFFFF"/>
        </w:rPr>
        <w:t>маркетинга</w:t>
      </w:r>
      <w:r w:rsidRPr="00EE1A4B">
        <w:rPr>
          <w:shd w:val="clear" w:color="auto" w:fill="FFFFFF"/>
        </w:rPr>
        <w:t> является формирование программы по сбыту, реализации, привлечению инвесторов, получения максимальной прибыли, т.е. меры воздействия на рынок сбыта.</w:t>
      </w:r>
    </w:p>
    <w:p w:rsidR="00F144CE" w:rsidRPr="00EE1A4B" w:rsidRDefault="00361AB1" w:rsidP="00F144CE">
      <w:pPr>
        <w:pStyle w:val="a3"/>
        <w:ind w:left="0" w:firstLine="709"/>
        <w:jc w:val="both"/>
      </w:pPr>
      <w:r w:rsidRPr="00EE1A4B">
        <w:rPr>
          <w:rFonts w:eastAsia="Calibri"/>
        </w:rPr>
        <w:t>В свою очередь, тактический</w:t>
      </w:r>
      <w:r w:rsidR="00EF10FF" w:rsidRPr="00EE1A4B">
        <w:rPr>
          <w:rFonts w:eastAsia="Calibri"/>
        </w:rPr>
        <w:t xml:space="preserve"> (операционный) маркетинг включается мероприятия по</w:t>
      </w:r>
      <w:r w:rsidRPr="00EE1A4B">
        <w:rPr>
          <w:rFonts w:eastAsia="Calibri"/>
        </w:rPr>
        <w:t xml:space="preserve"> максимально</w:t>
      </w:r>
      <w:r w:rsidR="00EF10FF" w:rsidRPr="00EE1A4B">
        <w:rPr>
          <w:rFonts w:eastAsia="Calibri"/>
        </w:rPr>
        <w:t>му</w:t>
      </w:r>
      <w:r w:rsidRPr="00EE1A4B">
        <w:rPr>
          <w:rFonts w:eastAsia="Calibri"/>
        </w:rPr>
        <w:t xml:space="preserve"> обеспечен</w:t>
      </w:r>
      <w:r w:rsidR="00EF10FF" w:rsidRPr="00EE1A4B">
        <w:rPr>
          <w:rFonts w:eastAsia="Calibri"/>
        </w:rPr>
        <w:t>ию</w:t>
      </w:r>
      <w:r w:rsidRPr="00EE1A4B">
        <w:rPr>
          <w:rFonts w:eastAsia="Calibri"/>
        </w:rPr>
        <w:t xml:space="preserve"> удобства места, времени и формы</w:t>
      </w:r>
      <w:r w:rsidR="00EF10FF" w:rsidRPr="00EE1A4B">
        <w:rPr>
          <w:rFonts w:eastAsia="Calibri"/>
        </w:rPr>
        <w:t xml:space="preserve"> </w:t>
      </w:r>
      <w:r w:rsidRPr="00EE1A4B">
        <w:rPr>
          <w:rFonts w:eastAsia="Calibri"/>
        </w:rPr>
        <w:t>приобретения товара; адаптаци</w:t>
      </w:r>
      <w:r w:rsidR="00EF10FF" w:rsidRPr="00EE1A4B">
        <w:rPr>
          <w:rFonts w:eastAsia="Calibri"/>
        </w:rPr>
        <w:t xml:space="preserve">и </w:t>
      </w:r>
      <w:r w:rsidRPr="00EE1A4B">
        <w:rPr>
          <w:rFonts w:eastAsia="Calibri"/>
        </w:rPr>
        <w:t>ценовой политики к особенностям текущего спроса; информировани</w:t>
      </w:r>
      <w:r w:rsidR="00EF10FF" w:rsidRPr="00EE1A4B">
        <w:rPr>
          <w:rFonts w:eastAsia="Calibri"/>
        </w:rPr>
        <w:t xml:space="preserve">я </w:t>
      </w:r>
      <w:r w:rsidRPr="00EE1A4B">
        <w:rPr>
          <w:rFonts w:eastAsia="Calibri"/>
        </w:rPr>
        <w:t>потенциальных покупателей об отличительных качествах товара и его способности максимально полно удовлетворять реальные потребности.</w:t>
      </w:r>
      <w:r w:rsidR="000C4E46" w:rsidRPr="00EE1A4B">
        <w:rPr>
          <w:rFonts w:eastAsia="Calibri"/>
        </w:rPr>
        <w:t xml:space="preserve"> </w:t>
      </w:r>
      <w:r w:rsidR="00D83FC9" w:rsidRPr="00EE1A4B">
        <w:rPr>
          <w:rStyle w:val="a5"/>
          <w:b w:val="0"/>
        </w:rPr>
        <w:t>Целью тактического маркетинга</w:t>
      </w:r>
      <w:r w:rsidR="00D83FC9" w:rsidRPr="00EE1A4B">
        <w:t> является получение максимально эффекта от реализации маркетинговой деятельности компании, а также достижение компанией необходимого уровня рентабельности, прибыли и других целей, установленных операционным планом.</w:t>
      </w:r>
    </w:p>
    <w:p w:rsidR="00F144CE" w:rsidRPr="00EE1A4B" w:rsidRDefault="00F144CE" w:rsidP="00F144CE">
      <w:pPr>
        <w:pStyle w:val="a3"/>
        <w:ind w:left="0" w:firstLine="709"/>
        <w:jc w:val="both"/>
        <w:rPr>
          <w:rStyle w:val="a5"/>
          <w:b w:val="0"/>
          <w:bCs w:val="0"/>
        </w:rPr>
      </w:pPr>
      <w:r w:rsidRPr="00EE1A4B">
        <w:t>Соотношение тактического и стратегического маркетинга и их целей позволяет сделать вывод о социальной направленности стратегического маркетинга, поскольку в его основе проведение стратегического анализа выявления потребностей, что обеспечивает большую удовлетворенность потребителей, которая при полноценном переносе может наблюдаться и в операционном маркетинге. Несмотря на присутствие в тактическом маркетинге социальной направленности его конечной функцией является получение прибыли и рост объемов реализации (рис. 1)</w:t>
      </w:r>
    </w:p>
    <w:p w:rsidR="00D83FC9" w:rsidRPr="00EE1A4B" w:rsidRDefault="00D83FC9" w:rsidP="00F144CE">
      <w:pPr>
        <w:spacing w:after="160" w:line="259" w:lineRule="auto"/>
        <w:jc w:val="center"/>
      </w:pPr>
      <w:r w:rsidRPr="00EE1A4B">
        <w:rPr>
          <w:noProof/>
        </w:rPr>
        <w:drawing>
          <wp:inline distT="0" distB="0" distL="0" distR="0" wp14:anchorId="7EE62820" wp14:editId="1326EBEA">
            <wp:extent cx="5572125" cy="1676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2125" cy="1676400"/>
                    </a:xfrm>
                    <a:prstGeom prst="rect">
                      <a:avLst/>
                    </a:prstGeom>
                  </pic:spPr>
                </pic:pic>
              </a:graphicData>
            </a:graphic>
          </wp:inline>
        </w:drawing>
      </w:r>
    </w:p>
    <w:p w:rsidR="00343092" w:rsidRPr="00EE1A4B" w:rsidRDefault="00343092" w:rsidP="00343092">
      <w:pPr>
        <w:pStyle w:val="a3"/>
        <w:spacing w:after="160" w:line="259" w:lineRule="auto"/>
        <w:jc w:val="center"/>
      </w:pPr>
      <w:r w:rsidRPr="00EE1A4B">
        <w:t>Рисунок 1 – Соотношение тактического(операционного) и стратегического маркетинга</w:t>
      </w:r>
      <w:r w:rsidR="000C4E46" w:rsidRPr="00EE1A4B">
        <w:rPr>
          <w:rStyle w:val="aa"/>
        </w:rPr>
        <w:footnoteReference w:id="2"/>
      </w:r>
    </w:p>
    <w:p w:rsidR="00E95034" w:rsidRPr="00EE1A4B" w:rsidRDefault="00E95034" w:rsidP="00E95034">
      <w:pPr>
        <w:pStyle w:val="a3"/>
        <w:ind w:left="0" w:firstLine="709"/>
        <w:jc w:val="both"/>
        <w:rPr>
          <w:rStyle w:val="a5"/>
          <w:b w:val="0"/>
        </w:rPr>
      </w:pPr>
      <w:r w:rsidRPr="00EE1A4B">
        <w:rPr>
          <w:rStyle w:val="a5"/>
          <w:b w:val="0"/>
        </w:rPr>
        <w:lastRenderedPageBreak/>
        <w:t>Таким образом, ориентация только на функциональные аспекты деятельности (выручка, прибыль), фирма направляет свои устремления по нижние ветки схемы, реализуя операционные функции. Если компания будет нацелена на достижение социальных целей, т.е. реализация стратегического маркетинга, то она может достичь гораздо больших эффектов и усилить операционный маркетинг.</w:t>
      </w:r>
    </w:p>
    <w:p w:rsidR="003B4BCD" w:rsidRPr="00EE1A4B" w:rsidRDefault="00E95034" w:rsidP="00E1469F">
      <w:pPr>
        <w:pStyle w:val="a3"/>
        <w:ind w:left="0" w:firstLine="709"/>
        <w:jc w:val="both"/>
        <w:rPr>
          <w:rStyle w:val="a5"/>
          <w:b w:val="0"/>
        </w:rPr>
      </w:pPr>
      <w:r w:rsidRPr="00EE1A4B">
        <w:rPr>
          <w:rStyle w:val="a5"/>
          <w:b w:val="0"/>
        </w:rPr>
        <w:t>Таким образом, для обеспечения эффективности маркетинговой деятельности и компании в целом необходимо применение операционного и стратегического маркетинга, поскольку удовлетворение потребностей невозможно обеспечить только за счет операционного маркетинга.</w:t>
      </w:r>
    </w:p>
    <w:p w:rsidR="00361AB1" w:rsidRPr="00EE1A4B" w:rsidRDefault="00361AB1" w:rsidP="00E1469F">
      <w:pPr>
        <w:pStyle w:val="a3"/>
        <w:ind w:left="0" w:firstLine="709"/>
        <w:jc w:val="both"/>
        <w:rPr>
          <w:rFonts w:eastAsia="Calibri"/>
        </w:rPr>
      </w:pPr>
    </w:p>
    <w:p w:rsidR="00361AB1" w:rsidRPr="00EE1A4B" w:rsidRDefault="00361AB1" w:rsidP="00E1469F">
      <w:pPr>
        <w:pStyle w:val="a3"/>
        <w:numPr>
          <w:ilvl w:val="0"/>
          <w:numId w:val="1"/>
        </w:numPr>
        <w:ind w:left="0" w:firstLine="709"/>
        <w:jc w:val="both"/>
        <w:rPr>
          <w:rFonts w:eastAsia="Calibri"/>
        </w:rPr>
      </w:pPr>
      <w:r w:rsidRPr="00EE1A4B">
        <w:rPr>
          <w:rFonts w:eastAsia="Calibri"/>
        </w:rPr>
        <w:t xml:space="preserve">Раскройте понятие, перечислите виды и укажите достоинства и недостатки матричных </w:t>
      </w:r>
      <w:r w:rsidR="00234AE8" w:rsidRPr="00EE1A4B">
        <w:rPr>
          <w:rFonts w:eastAsia="Calibri"/>
        </w:rPr>
        <w:t>методов стратегического анализа</w:t>
      </w:r>
    </w:p>
    <w:p w:rsidR="00234AE8" w:rsidRPr="00EE1A4B" w:rsidRDefault="00234AE8" w:rsidP="00E1469F">
      <w:pPr>
        <w:pStyle w:val="a3"/>
        <w:ind w:left="0" w:firstLine="709"/>
        <w:jc w:val="both"/>
        <w:rPr>
          <w:rFonts w:eastAsia="Calibri"/>
        </w:rPr>
      </w:pPr>
    </w:p>
    <w:p w:rsidR="00CC00C4" w:rsidRPr="00EE1A4B" w:rsidRDefault="00CC00C4" w:rsidP="00BF46A1">
      <w:pPr>
        <w:pStyle w:val="a3"/>
        <w:ind w:left="0" w:firstLine="709"/>
        <w:jc w:val="both"/>
      </w:pPr>
      <w:r w:rsidRPr="00EE1A4B">
        <w:rPr>
          <w:rFonts w:eastAsia="Calibri"/>
        </w:rPr>
        <w:t xml:space="preserve">Под матричными методами стратегического анализа понимают методы внутреннего и внешнего </w:t>
      </w:r>
      <w:r w:rsidR="00BF6C08" w:rsidRPr="00EE1A4B">
        <w:rPr>
          <w:rFonts w:eastAsia="Calibri"/>
        </w:rPr>
        <w:t>окружения</w:t>
      </w:r>
      <w:r w:rsidRPr="00EE1A4B">
        <w:rPr>
          <w:rFonts w:eastAsia="Calibri"/>
        </w:rPr>
        <w:t xml:space="preserve"> и планирования деятельности компании</w:t>
      </w:r>
      <w:r w:rsidR="00BF6C08" w:rsidRPr="00EE1A4B">
        <w:rPr>
          <w:rFonts w:eastAsia="Calibri"/>
        </w:rPr>
        <w:t>, основанные на построении матриц</w:t>
      </w:r>
      <w:r w:rsidR="000C4E46" w:rsidRPr="00EE1A4B">
        <w:t>.</w:t>
      </w:r>
      <w:r w:rsidR="000C4E46" w:rsidRPr="00EE1A4B">
        <w:rPr>
          <w:rStyle w:val="aa"/>
        </w:rPr>
        <w:footnoteReference w:id="3"/>
      </w:r>
    </w:p>
    <w:p w:rsidR="00234AE8" w:rsidRPr="00EE1A4B" w:rsidRDefault="00BF6C08" w:rsidP="00824A47">
      <w:pPr>
        <w:pStyle w:val="a3"/>
        <w:ind w:left="0" w:firstLine="709"/>
        <w:jc w:val="both"/>
        <w:rPr>
          <w:rFonts w:eastAsia="Calibri"/>
        </w:rPr>
      </w:pPr>
      <w:r w:rsidRPr="00EE1A4B">
        <w:rPr>
          <w:rFonts w:eastAsia="Calibri"/>
        </w:rPr>
        <w:t xml:space="preserve">В практической деятельности применяются большое количество матричных методов. </w:t>
      </w:r>
      <w:r w:rsidR="00CC00C4" w:rsidRPr="00EE1A4B">
        <w:rPr>
          <w:rFonts w:eastAsia="Calibri"/>
        </w:rPr>
        <w:t xml:space="preserve">Широко известны следующие матричные методы: </w:t>
      </w:r>
      <w:proofErr w:type="spellStart"/>
      <w:r w:rsidR="00CC00C4" w:rsidRPr="00EE1A4B">
        <w:rPr>
          <w:rFonts w:eastAsia="Calibri"/>
          <w:lang w:val="en-US"/>
        </w:rPr>
        <w:t>Swot</w:t>
      </w:r>
      <w:proofErr w:type="spellEnd"/>
      <w:r w:rsidR="00CC00C4" w:rsidRPr="00EE1A4B">
        <w:rPr>
          <w:rFonts w:eastAsia="Calibri"/>
        </w:rPr>
        <w:t>, БКГ,</w:t>
      </w:r>
      <w:r w:rsidRPr="00EE1A4B">
        <w:rPr>
          <w:shd w:val="clear" w:color="auto" w:fill="FFFFFF"/>
        </w:rPr>
        <w:t xml:space="preserve"> ADL,</w:t>
      </w:r>
      <w:r w:rsidR="00CC00C4" w:rsidRPr="00EE1A4B">
        <w:rPr>
          <w:rFonts w:eastAsia="Calibri"/>
        </w:rPr>
        <w:t xml:space="preserve"> </w:t>
      </w:r>
      <w:proofErr w:type="spellStart"/>
      <w:r w:rsidR="00CC00C4" w:rsidRPr="00EE1A4B">
        <w:rPr>
          <w:rFonts w:eastAsia="Calibri"/>
        </w:rPr>
        <w:t>МакКинси</w:t>
      </w:r>
      <w:proofErr w:type="spellEnd"/>
      <w:r w:rsidR="00CC00C4" w:rsidRPr="00EE1A4B">
        <w:rPr>
          <w:rFonts w:eastAsia="Calibri"/>
        </w:rPr>
        <w:t xml:space="preserve">, </w:t>
      </w:r>
      <w:proofErr w:type="spellStart"/>
      <w:r w:rsidR="00CC00C4" w:rsidRPr="00EE1A4B">
        <w:rPr>
          <w:rFonts w:eastAsia="Calibri"/>
          <w:lang w:val="en-US"/>
        </w:rPr>
        <w:t>Spase</w:t>
      </w:r>
      <w:proofErr w:type="spellEnd"/>
      <w:r w:rsidR="00CC00C4" w:rsidRPr="00EE1A4B">
        <w:rPr>
          <w:rFonts w:eastAsia="Calibri"/>
        </w:rPr>
        <w:t>, матрица Портера</w:t>
      </w:r>
      <w:r w:rsidRPr="00EE1A4B">
        <w:rPr>
          <w:rFonts w:eastAsia="Calibri"/>
        </w:rPr>
        <w:t xml:space="preserve">, </w:t>
      </w:r>
      <w:r w:rsidRPr="00EE1A4B">
        <w:rPr>
          <w:rStyle w:val="a5"/>
          <w:b w:val="0"/>
          <w:iCs/>
        </w:rPr>
        <w:t>Томпсона–</w:t>
      </w:r>
      <w:proofErr w:type="spellStart"/>
      <w:r w:rsidRPr="00EE1A4B">
        <w:rPr>
          <w:rStyle w:val="a5"/>
          <w:b w:val="0"/>
          <w:iCs/>
        </w:rPr>
        <w:t>Стрикланда</w:t>
      </w:r>
      <w:proofErr w:type="spellEnd"/>
      <w:r w:rsidRPr="00EE1A4B">
        <w:rPr>
          <w:rStyle w:val="a5"/>
          <w:b w:val="0"/>
          <w:iCs/>
        </w:rPr>
        <w:t xml:space="preserve">, </w:t>
      </w:r>
      <w:proofErr w:type="spellStart"/>
      <w:r w:rsidRPr="00EE1A4B">
        <w:rPr>
          <w:rStyle w:val="a5"/>
          <w:b w:val="0"/>
          <w:iCs/>
        </w:rPr>
        <w:t>Ансоффа</w:t>
      </w:r>
      <w:proofErr w:type="spellEnd"/>
      <w:r w:rsidR="00CC00C4" w:rsidRPr="00EE1A4B">
        <w:rPr>
          <w:rFonts w:eastAsia="Calibri"/>
        </w:rPr>
        <w:t xml:space="preserve"> и др.</w:t>
      </w:r>
    </w:p>
    <w:p w:rsidR="000C4E46" w:rsidRPr="00EE1A4B" w:rsidRDefault="00BF6C08" w:rsidP="00824A47">
      <w:pPr>
        <w:pStyle w:val="a3"/>
        <w:ind w:left="0" w:firstLine="709"/>
        <w:jc w:val="both"/>
        <w:rPr>
          <w:rFonts w:eastAsia="Calibri"/>
        </w:rPr>
      </w:pPr>
      <w:r w:rsidRPr="00EE1A4B">
        <w:rPr>
          <w:rFonts w:eastAsia="Calibri"/>
        </w:rPr>
        <w:t>Классифицировать матричные методы можно по различным критериям:</w:t>
      </w:r>
      <w:r w:rsidR="000C4E46" w:rsidRPr="00EE1A4B">
        <w:rPr>
          <w:rStyle w:val="aa"/>
          <w:rFonts w:eastAsia="Calibri"/>
        </w:rPr>
        <w:footnoteReference w:id="4"/>
      </w:r>
    </w:p>
    <w:p w:rsidR="00BF6C08" w:rsidRPr="00EE1A4B" w:rsidRDefault="00BF6C08" w:rsidP="00824A47">
      <w:pPr>
        <w:pStyle w:val="a3"/>
        <w:ind w:left="0" w:firstLine="709"/>
        <w:jc w:val="both"/>
        <w:rPr>
          <w:rFonts w:eastAsia="Calibri"/>
        </w:rPr>
      </w:pPr>
      <w:r w:rsidRPr="00EE1A4B">
        <w:rPr>
          <w:rFonts w:eastAsia="Calibri"/>
        </w:rPr>
        <w:t>- Количество исследуемых ячеек – ячейки матрицы; чем их больше, тем матрица наиболее сложная и достоверная.</w:t>
      </w:r>
    </w:p>
    <w:p w:rsidR="00BF46A1" w:rsidRPr="00EE1A4B" w:rsidRDefault="00BF46A1" w:rsidP="00824A47">
      <w:pPr>
        <w:pStyle w:val="a3"/>
        <w:ind w:left="0" w:firstLine="709"/>
        <w:jc w:val="both"/>
        <w:rPr>
          <w:rFonts w:eastAsia="Calibri"/>
        </w:rPr>
      </w:pPr>
      <w:r w:rsidRPr="00EE1A4B">
        <w:rPr>
          <w:rFonts w:eastAsia="Calibri"/>
        </w:rPr>
        <w:t>- Получаемая информация –разделение матрицы на количественную и смысловую информацию.</w:t>
      </w:r>
    </w:p>
    <w:p w:rsidR="00BF46A1" w:rsidRPr="00EE1A4B" w:rsidRDefault="00BF46A1" w:rsidP="00824A47">
      <w:pPr>
        <w:pStyle w:val="a3"/>
        <w:ind w:left="0" w:firstLine="709"/>
        <w:jc w:val="both"/>
        <w:rPr>
          <w:rFonts w:eastAsia="Calibri"/>
        </w:rPr>
      </w:pPr>
      <w:r w:rsidRPr="00EE1A4B">
        <w:rPr>
          <w:rFonts w:eastAsia="Calibri"/>
        </w:rPr>
        <w:t>- Объект изучения – деление матрицы в зависимости от объекта изучения: портфель, сегменты, потребители, конкуренты и пр.</w:t>
      </w:r>
    </w:p>
    <w:p w:rsidR="00BF6C08" w:rsidRPr="00EE1A4B" w:rsidRDefault="00BF46A1" w:rsidP="00824A47">
      <w:pPr>
        <w:pStyle w:val="a3"/>
        <w:ind w:left="0" w:firstLine="709"/>
        <w:jc w:val="both"/>
        <w:rPr>
          <w:rFonts w:eastAsia="Calibri"/>
        </w:rPr>
      </w:pPr>
      <w:r w:rsidRPr="00EE1A4B">
        <w:rPr>
          <w:rFonts w:eastAsia="Calibri"/>
        </w:rPr>
        <w:t>- Уровень решения задач - п</w:t>
      </w:r>
      <w:r w:rsidRPr="00EE1A4B">
        <w:t>ервичный анализ; анализ рынка/отрасли (рынок); отрасль; анализ дифференциации; анализ качества; анализ маркетинговой стратегии; анализ управления (руководство); персонал.</w:t>
      </w:r>
    </w:p>
    <w:p w:rsidR="00BF6C08" w:rsidRPr="00EE1A4B" w:rsidRDefault="00E1469F" w:rsidP="00824A47">
      <w:pPr>
        <w:pStyle w:val="a3"/>
        <w:ind w:left="0" w:firstLine="709"/>
        <w:jc w:val="both"/>
        <w:rPr>
          <w:rFonts w:eastAsia="Calibri"/>
        </w:rPr>
      </w:pPr>
      <w:r w:rsidRPr="00EE1A4B">
        <w:rPr>
          <w:rFonts w:eastAsia="Calibri"/>
        </w:rPr>
        <w:t>К преимуществам анализа матричными методами относят:</w:t>
      </w:r>
    </w:p>
    <w:p w:rsidR="00E1469F" w:rsidRPr="00EE1A4B" w:rsidRDefault="00E1469F" w:rsidP="00824A47">
      <w:pPr>
        <w:pStyle w:val="a3"/>
        <w:ind w:left="0" w:firstLine="709"/>
        <w:jc w:val="both"/>
        <w:rPr>
          <w:rFonts w:eastAsia="Calibri"/>
        </w:rPr>
      </w:pPr>
      <w:r w:rsidRPr="00EE1A4B">
        <w:rPr>
          <w:rFonts w:eastAsia="Calibri"/>
        </w:rPr>
        <w:t>- простота и логичность анализа;</w:t>
      </w:r>
    </w:p>
    <w:p w:rsidR="00E1469F" w:rsidRPr="00EE1A4B" w:rsidRDefault="00E1469F" w:rsidP="00824A47">
      <w:pPr>
        <w:pStyle w:val="a3"/>
        <w:ind w:left="0" w:firstLine="709"/>
        <w:jc w:val="both"/>
        <w:rPr>
          <w:shd w:val="clear" w:color="auto" w:fill="FDFEFF"/>
        </w:rPr>
      </w:pPr>
      <w:r w:rsidRPr="00EE1A4B">
        <w:rPr>
          <w:rFonts w:eastAsia="Calibri"/>
        </w:rPr>
        <w:t xml:space="preserve">- </w:t>
      </w:r>
      <w:r w:rsidRPr="00EE1A4B">
        <w:rPr>
          <w:shd w:val="clear" w:color="auto" w:fill="FDFEFF"/>
        </w:rPr>
        <w:t>систематизация и анализ данных о развитии компании или ее сегмента, бизнес-единицы, а также внешнего и внутреннего окружения;</w:t>
      </w:r>
    </w:p>
    <w:p w:rsidR="00E1469F" w:rsidRPr="00EE1A4B" w:rsidRDefault="00E1469F" w:rsidP="00824A47">
      <w:pPr>
        <w:pStyle w:val="a3"/>
        <w:ind w:left="0" w:firstLine="709"/>
        <w:jc w:val="both"/>
        <w:rPr>
          <w:shd w:val="clear" w:color="auto" w:fill="FDFEFF"/>
        </w:rPr>
      </w:pPr>
      <w:r w:rsidRPr="00EE1A4B">
        <w:rPr>
          <w:shd w:val="clear" w:color="auto" w:fill="FDFEFF"/>
        </w:rPr>
        <w:t xml:space="preserve">- наглядное структурирование факторов сложной </w:t>
      </w:r>
      <w:r w:rsidR="005D6811" w:rsidRPr="00EE1A4B">
        <w:rPr>
          <w:shd w:val="clear" w:color="auto" w:fill="FDFEFF"/>
        </w:rPr>
        <w:t>конъюнктуры</w:t>
      </w:r>
      <w:r w:rsidRPr="00EE1A4B">
        <w:rPr>
          <w:shd w:val="clear" w:color="auto" w:fill="FDFEFF"/>
        </w:rPr>
        <w:t xml:space="preserve"> рынка;</w:t>
      </w:r>
    </w:p>
    <w:p w:rsidR="00E1469F" w:rsidRPr="00EE1A4B" w:rsidRDefault="00E1469F" w:rsidP="000C4E46">
      <w:pPr>
        <w:pStyle w:val="a3"/>
        <w:ind w:left="0" w:firstLine="709"/>
        <w:jc w:val="both"/>
        <w:rPr>
          <w:shd w:val="clear" w:color="auto" w:fill="FDFEFF"/>
        </w:rPr>
      </w:pPr>
      <w:r w:rsidRPr="00EE1A4B">
        <w:rPr>
          <w:shd w:val="clear" w:color="auto" w:fill="FDFEFF"/>
        </w:rPr>
        <w:t xml:space="preserve">- применение </w:t>
      </w:r>
      <w:r w:rsidR="005D6811" w:rsidRPr="00EE1A4B">
        <w:rPr>
          <w:shd w:val="clear" w:color="auto" w:fill="FDFEFF"/>
        </w:rPr>
        <w:t>количественных</w:t>
      </w:r>
      <w:r w:rsidRPr="00EE1A4B">
        <w:rPr>
          <w:shd w:val="clear" w:color="auto" w:fill="FDFEFF"/>
        </w:rPr>
        <w:t xml:space="preserve"> показателей;</w:t>
      </w:r>
    </w:p>
    <w:p w:rsidR="00E1469F" w:rsidRPr="00EE1A4B" w:rsidRDefault="00E1469F" w:rsidP="000C4E46">
      <w:pPr>
        <w:pStyle w:val="a3"/>
        <w:ind w:left="0" w:firstLine="709"/>
        <w:jc w:val="both"/>
        <w:rPr>
          <w:rFonts w:eastAsia="Calibri"/>
        </w:rPr>
      </w:pPr>
      <w:r w:rsidRPr="00EE1A4B">
        <w:rPr>
          <w:shd w:val="clear" w:color="auto" w:fill="FDFEFF"/>
        </w:rPr>
        <w:t xml:space="preserve">- соотношение с другими методами – экспертными, </w:t>
      </w:r>
      <w:r w:rsidR="005D6811" w:rsidRPr="00EE1A4B">
        <w:rPr>
          <w:shd w:val="clear" w:color="auto" w:fill="FDFEFF"/>
        </w:rPr>
        <w:t>статистическими</w:t>
      </w:r>
      <w:r w:rsidRPr="00EE1A4B">
        <w:rPr>
          <w:shd w:val="clear" w:color="auto" w:fill="FDFEFF"/>
        </w:rPr>
        <w:t>, моделированием</w:t>
      </w:r>
      <w:r w:rsidR="005D6811" w:rsidRPr="00EE1A4B">
        <w:rPr>
          <w:shd w:val="clear" w:color="auto" w:fill="FDFEFF"/>
        </w:rPr>
        <w:t xml:space="preserve"> процессов.</w:t>
      </w:r>
      <w:r w:rsidRPr="00EE1A4B">
        <w:rPr>
          <w:shd w:val="clear" w:color="auto" w:fill="FDFEFF"/>
        </w:rPr>
        <w:t xml:space="preserve"> </w:t>
      </w:r>
    </w:p>
    <w:p w:rsidR="00E1469F" w:rsidRPr="00EE1A4B" w:rsidRDefault="00E1469F" w:rsidP="000C4E46">
      <w:pPr>
        <w:pStyle w:val="a3"/>
        <w:ind w:left="0" w:firstLine="709"/>
        <w:jc w:val="both"/>
        <w:rPr>
          <w:rFonts w:eastAsia="Calibri"/>
        </w:rPr>
      </w:pPr>
      <w:r w:rsidRPr="00EE1A4B">
        <w:rPr>
          <w:rFonts w:eastAsia="Calibri"/>
        </w:rPr>
        <w:t>Несмотря на достоинства матричных методов можно выделить следующие недостатки:</w:t>
      </w:r>
    </w:p>
    <w:p w:rsidR="00E1469F" w:rsidRPr="00EE1A4B" w:rsidRDefault="00E1469F" w:rsidP="000C4E46">
      <w:pPr>
        <w:pStyle w:val="a3"/>
        <w:ind w:left="0" w:firstLine="709"/>
        <w:jc w:val="both"/>
      </w:pPr>
      <w:r w:rsidRPr="00EE1A4B">
        <w:rPr>
          <w:rFonts w:eastAsia="Calibri"/>
        </w:rPr>
        <w:t xml:space="preserve">- </w:t>
      </w:r>
      <w:r w:rsidRPr="00EE1A4B">
        <w:t>большое количество критериев, входных данных, что приводит к трудностям учета рыночных отношений;</w:t>
      </w:r>
    </w:p>
    <w:p w:rsidR="00E1469F" w:rsidRPr="00EE1A4B" w:rsidRDefault="00E1469F" w:rsidP="000C4E46">
      <w:pPr>
        <w:pStyle w:val="a3"/>
        <w:ind w:left="0" w:firstLine="709"/>
        <w:jc w:val="both"/>
      </w:pPr>
      <w:r w:rsidRPr="00EE1A4B">
        <w:t>- субъективизм принятых оценок;</w:t>
      </w:r>
    </w:p>
    <w:p w:rsidR="00E1469F" w:rsidRPr="00EE1A4B" w:rsidRDefault="00E1469F" w:rsidP="000C4E46">
      <w:pPr>
        <w:pStyle w:val="a3"/>
        <w:ind w:left="0" w:firstLine="709"/>
        <w:jc w:val="both"/>
      </w:pPr>
      <w:r w:rsidRPr="00EE1A4B">
        <w:t>- статичный характер модели;</w:t>
      </w:r>
    </w:p>
    <w:p w:rsidR="00E1469F" w:rsidRPr="00EE1A4B" w:rsidRDefault="00E1469F" w:rsidP="000C4E46">
      <w:pPr>
        <w:pStyle w:val="a3"/>
        <w:ind w:left="0" w:firstLine="709"/>
        <w:jc w:val="both"/>
      </w:pPr>
      <w:r w:rsidRPr="00EE1A4B">
        <w:t>- общий характер рекомендаций;</w:t>
      </w:r>
    </w:p>
    <w:p w:rsidR="00E1469F" w:rsidRPr="00EE1A4B" w:rsidRDefault="00E1469F" w:rsidP="000C4E46">
      <w:pPr>
        <w:pStyle w:val="a3"/>
        <w:ind w:left="0" w:firstLine="709"/>
        <w:jc w:val="both"/>
      </w:pPr>
      <w:r w:rsidRPr="00EE1A4B">
        <w:t>- трудный выбор стратегий из множества вариантов анализа;</w:t>
      </w:r>
    </w:p>
    <w:p w:rsidR="00E1469F" w:rsidRPr="00EE1A4B" w:rsidRDefault="00E1469F" w:rsidP="000C4E46">
      <w:pPr>
        <w:pStyle w:val="a3"/>
        <w:ind w:left="0" w:firstLine="709"/>
        <w:jc w:val="both"/>
      </w:pPr>
      <w:r w:rsidRPr="00EE1A4B">
        <w:t xml:space="preserve">- отсутствие учета </w:t>
      </w:r>
      <w:r w:rsidR="005D6811" w:rsidRPr="00EE1A4B">
        <w:t>бедующих</w:t>
      </w:r>
      <w:r w:rsidRPr="00EE1A4B">
        <w:t xml:space="preserve"> тенденций и перспектив.</w:t>
      </w:r>
    </w:p>
    <w:p w:rsidR="00824A47" w:rsidRPr="00EE1A4B" w:rsidRDefault="00824A47" w:rsidP="000C4E46">
      <w:pPr>
        <w:pStyle w:val="a3"/>
        <w:ind w:left="0" w:firstLine="709"/>
        <w:jc w:val="both"/>
      </w:pPr>
    </w:p>
    <w:p w:rsidR="00361AB1" w:rsidRPr="00EE1A4B" w:rsidRDefault="00361AB1" w:rsidP="000C4E46">
      <w:pPr>
        <w:pStyle w:val="a3"/>
        <w:numPr>
          <w:ilvl w:val="0"/>
          <w:numId w:val="1"/>
        </w:numPr>
        <w:ind w:left="0" w:firstLine="709"/>
        <w:jc w:val="both"/>
        <w:rPr>
          <w:rFonts w:eastAsia="Calibri"/>
        </w:rPr>
      </w:pPr>
      <w:r w:rsidRPr="00EE1A4B">
        <w:rPr>
          <w:rFonts w:eastAsia="Calibri"/>
        </w:rPr>
        <w:lastRenderedPageBreak/>
        <w:t>Для любой (по выбору студента) посреднической компании, работающей на рынке В2В, предложите критерии сегментирования рынка по одному из направлений услуг (услуге).</w:t>
      </w:r>
    </w:p>
    <w:p w:rsidR="006726B8" w:rsidRPr="00EE1A4B" w:rsidRDefault="006726B8" w:rsidP="000C4E46">
      <w:pPr>
        <w:pStyle w:val="a3"/>
        <w:ind w:left="0" w:firstLine="709"/>
        <w:jc w:val="both"/>
        <w:rPr>
          <w:rFonts w:eastAsia="Calibri"/>
        </w:rPr>
      </w:pPr>
    </w:p>
    <w:p w:rsidR="006726B8" w:rsidRPr="00EE1A4B" w:rsidRDefault="006726B8" w:rsidP="000C4E46">
      <w:pPr>
        <w:pStyle w:val="a3"/>
        <w:ind w:left="0" w:firstLine="709"/>
        <w:jc w:val="both"/>
        <w:rPr>
          <w:bCs/>
          <w:iCs/>
        </w:rPr>
      </w:pPr>
      <w:r w:rsidRPr="00EE1A4B">
        <w:rPr>
          <w:bCs/>
          <w:iCs/>
        </w:rPr>
        <w:t>ООО «</w:t>
      </w:r>
      <w:proofErr w:type="spellStart"/>
      <w:r w:rsidRPr="00EE1A4B">
        <w:rPr>
          <w:bCs/>
          <w:iCs/>
        </w:rPr>
        <w:t>ЛПГруп</w:t>
      </w:r>
      <w:proofErr w:type="spellEnd"/>
      <w:r w:rsidRPr="00EE1A4B">
        <w:rPr>
          <w:bCs/>
          <w:iCs/>
        </w:rPr>
        <w:t>» - компания, производящая оборудование для рынка нефтяного и газового машиностроения, где можно выделить два ключевых сегмента производителей и компаний-дистрибьютеров:</w:t>
      </w:r>
      <w:r w:rsidR="000C4E46" w:rsidRPr="00EE1A4B">
        <w:rPr>
          <w:rStyle w:val="aa"/>
          <w:bCs/>
          <w:iCs/>
        </w:rPr>
        <w:footnoteReference w:id="5"/>
      </w:r>
      <w:r w:rsidR="00F13AD0" w:rsidRPr="00EE1A4B">
        <w:t xml:space="preserve"> </w:t>
      </w:r>
    </w:p>
    <w:p w:rsidR="006726B8" w:rsidRPr="00EE1A4B" w:rsidRDefault="006726B8" w:rsidP="006726B8">
      <w:pPr>
        <w:pStyle w:val="a3"/>
        <w:numPr>
          <w:ilvl w:val="0"/>
          <w:numId w:val="3"/>
        </w:numPr>
        <w:ind w:left="0" w:firstLine="709"/>
        <w:jc w:val="both"/>
        <w:rPr>
          <w:bCs/>
          <w:iCs/>
        </w:rPr>
      </w:pPr>
      <w:r w:rsidRPr="00EE1A4B">
        <w:rPr>
          <w:bCs/>
          <w:iCs/>
        </w:rPr>
        <w:t>Крупные машиностроительные предприятия широкой специализации.</w:t>
      </w:r>
    </w:p>
    <w:p w:rsidR="006726B8" w:rsidRPr="00EE1A4B" w:rsidRDefault="006726B8" w:rsidP="006726B8">
      <w:pPr>
        <w:pStyle w:val="a3"/>
        <w:numPr>
          <w:ilvl w:val="0"/>
          <w:numId w:val="3"/>
        </w:numPr>
        <w:ind w:left="0" w:firstLine="709"/>
        <w:jc w:val="both"/>
        <w:rPr>
          <w:bCs/>
          <w:iCs/>
        </w:rPr>
      </w:pPr>
      <w:r w:rsidRPr="00EE1A4B">
        <w:rPr>
          <w:bCs/>
          <w:iCs/>
        </w:rPr>
        <w:t>Мелкие и средние предприятия узкой специализации.</w:t>
      </w:r>
    </w:p>
    <w:p w:rsidR="006726B8" w:rsidRPr="00EE1A4B" w:rsidRDefault="006726B8" w:rsidP="006726B8">
      <w:pPr>
        <w:pStyle w:val="a3"/>
        <w:ind w:left="0" w:firstLine="709"/>
        <w:jc w:val="both"/>
        <w:rPr>
          <w:bCs/>
          <w:iCs/>
        </w:rPr>
      </w:pPr>
      <w:r w:rsidRPr="00EE1A4B">
        <w:rPr>
          <w:bCs/>
          <w:iCs/>
        </w:rPr>
        <w:t>В таблице 1 представим критерии сегментации.</w:t>
      </w:r>
    </w:p>
    <w:p w:rsidR="006726B8" w:rsidRPr="00EE1A4B" w:rsidRDefault="006726B8" w:rsidP="006726B8">
      <w:pPr>
        <w:pStyle w:val="a3"/>
        <w:ind w:left="0" w:firstLine="709"/>
        <w:jc w:val="both"/>
        <w:rPr>
          <w:bCs/>
          <w:iCs/>
        </w:rPr>
      </w:pPr>
      <w:r w:rsidRPr="00EE1A4B">
        <w:rPr>
          <w:bCs/>
          <w:iCs/>
        </w:rPr>
        <w:t>Таблица 1 – Критерии сегментации и сегментирование рынка</w:t>
      </w:r>
    </w:p>
    <w:tbl>
      <w:tblPr>
        <w:tblStyle w:val="a7"/>
        <w:tblW w:w="5000" w:type="pct"/>
        <w:tblLook w:val="04A0" w:firstRow="1" w:lastRow="0" w:firstColumn="1" w:lastColumn="0" w:noHBand="0" w:noVBand="1"/>
      </w:tblPr>
      <w:tblGrid>
        <w:gridCol w:w="2002"/>
        <w:gridCol w:w="3207"/>
        <w:gridCol w:w="4136"/>
      </w:tblGrid>
      <w:tr w:rsidR="00EE1A4B" w:rsidRPr="00EE1A4B" w:rsidTr="005339EF">
        <w:tc>
          <w:tcPr>
            <w:tcW w:w="1071" w:type="pct"/>
            <w:vAlign w:val="bottom"/>
          </w:tcPr>
          <w:p w:rsidR="006726B8" w:rsidRPr="00EE1A4B" w:rsidRDefault="00F13AD0" w:rsidP="006726B8">
            <w:pPr>
              <w:rPr>
                <w:bCs/>
                <w:iCs/>
              </w:rPr>
            </w:pPr>
            <w:r w:rsidRPr="00EE1A4B">
              <w:rPr>
                <w:bCs/>
                <w:iCs/>
              </w:rPr>
              <w:t>Признак</w:t>
            </w:r>
          </w:p>
        </w:tc>
        <w:tc>
          <w:tcPr>
            <w:tcW w:w="1716" w:type="pct"/>
            <w:vAlign w:val="bottom"/>
          </w:tcPr>
          <w:p w:rsidR="006726B8" w:rsidRPr="00EE1A4B" w:rsidRDefault="006726B8" w:rsidP="006726B8">
            <w:pPr>
              <w:rPr>
                <w:bCs/>
                <w:iCs/>
              </w:rPr>
            </w:pPr>
            <w:r w:rsidRPr="00EE1A4B">
              <w:rPr>
                <w:bCs/>
                <w:iCs/>
              </w:rPr>
              <w:t>Сегмент 1 - крупные машиностроительные предприятия широкой специализации</w:t>
            </w:r>
          </w:p>
        </w:tc>
        <w:tc>
          <w:tcPr>
            <w:tcW w:w="2213" w:type="pct"/>
            <w:vAlign w:val="bottom"/>
          </w:tcPr>
          <w:p w:rsidR="006726B8" w:rsidRPr="00EE1A4B" w:rsidRDefault="006726B8" w:rsidP="006726B8">
            <w:pPr>
              <w:rPr>
                <w:bCs/>
                <w:iCs/>
              </w:rPr>
            </w:pPr>
            <w:r w:rsidRPr="00EE1A4B">
              <w:rPr>
                <w:bCs/>
                <w:iCs/>
              </w:rPr>
              <w:t>Сегмент 2 - мелкие и средние предприятия узкой специализации</w:t>
            </w:r>
          </w:p>
        </w:tc>
      </w:tr>
      <w:tr w:rsidR="00EE1A4B" w:rsidRPr="00EE1A4B" w:rsidTr="005339EF">
        <w:trPr>
          <w:trHeight w:val="475"/>
        </w:trPr>
        <w:tc>
          <w:tcPr>
            <w:tcW w:w="1071" w:type="pct"/>
            <w:vAlign w:val="bottom"/>
          </w:tcPr>
          <w:p w:rsidR="006726B8" w:rsidRPr="00EE1A4B" w:rsidRDefault="006726B8" w:rsidP="006726B8">
            <w:pPr>
              <w:rPr>
                <w:bCs/>
                <w:iCs/>
              </w:rPr>
            </w:pPr>
            <w:r w:rsidRPr="00EE1A4B">
              <w:t>Период присутствия на рынке, лет</w:t>
            </w:r>
          </w:p>
        </w:tc>
        <w:tc>
          <w:tcPr>
            <w:tcW w:w="1716" w:type="pct"/>
            <w:vAlign w:val="bottom"/>
          </w:tcPr>
          <w:p w:rsidR="006726B8" w:rsidRPr="00EE1A4B" w:rsidRDefault="006726B8" w:rsidP="006726B8">
            <w:pPr>
              <w:rPr>
                <w:bCs/>
                <w:iCs/>
              </w:rPr>
            </w:pPr>
            <w:r w:rsidRPr="00EE1A4B">
              <w:rPr>
                <w:bCs/>
                <w:iCs/>
              </w:rPr>
              <w:t>Более 50 лет</w:t>
            </w:r>
          </w:p>
        </w:tc>
        <w:tc>
          <w:tcPr>
            <w:tcW w:w="2213" w:type="pct"/>
            <w:vAlign w:val="bottom"/>
          </w:tcPr>
          <w:p w:rsidR="006726B8" w:rsidRPr="00EE1A4B" w:rsidRDefault="006726B8" w:rsidP="006726B8">
            <w:pPr>
              <w:rPr>
                <w:bCs/>
                <w:iCs/>
              </w:rPr>
            </w:pPr>
            <w:r w:rsidRPr="00EE1A4B">
              <w:rPr>
                <w:bCs/>
                <w:iCs/>
              </w:rPr>
              <w:t>5-10 лет; до 20 лет</w:t>
            </w:r>
          </w:p>
        </w:tc>
      </w:tr>
      <w:tr w:rsidR="00EE1A4B" w:rsidRPr="00EE1A4B" w:rsidTr="005339EF">
        <w:trPr>
          <w:trHeight w:val="554"/>
        </w:trPr>
        <w:tc>
          <w:tcPr>
            <w:tcW w:w="1071" w:type="pct"/>
            <w:vAlign w:val="bottom"/>
          </w:tcPr>
          <w:p w:rsidR="006726B8" w:rsidRPr="00EE1A4B" w:rsidRDefault="006726B8" w:rsidP="006726B8">
            <w:pPr>
              <w:rPr>
                <w:bCs/>
                <w:iCs/>
              </w:rPr>
            </w:pPr>
            <w:r w:rsidRPr="00EE1A4B">
              <w:t>Средняя численность сотрудников, чел.</w:t>
            </w:r>
          </w:p>
        </w:tc>
        <w:tc>
          <w:tcPr>
            <w:tcW w:w="1716" w:type="pct"/>
            <w:vAlign w:val="bottom"/>
          </w:tcPr>
          <w:p w:rsidR="006726B8" w:rsidRPr="00EE1A4B" w:rsidRDefault="006726B8" w:rsidP="006726B8">
            <w:pPr>
              <w:rPr>
                <w:bCs/>
                <w:iCs/>
              </w:rPr>
            </w:pPr>
            <w:r w:rsidRPr="00EE1A4B">
              <w:rPr>
                <w:bCs/>
                <w:iCs/>
              </w:rPr>
              <w:t xml:space="preserve">Более 1000 </w:t>
            </w:r>
          </w:p>
        </w:tc>
        <w:tc>
          <w:tcPr>
            <w:tcW w:w="2213" w:type="pct"/>
            <w:vAlign w:val="bottom"/>
          </w:tcPr>
          <w:p w:rsidR="006726B8" w:rsidRPr="00EE1A4B" w:rsidRDefault="006726B8" w:rsidP="006726B8">
            <w:pPr>
              <w:rPr>
                <w:bCs/>
                <w:iCs/>
              </w:rPr>
            </w:pPr>
            <w:r w:rsidRPr="00EE1A4B">
              <w:rPr>
                <w:bCs/>
                <w:iCs/>
              </w:rPr>
              <w:t>80-100, до 350</w:t>
            </w:r>
          </w:p>
        </w:tc>
      </w:tr>
      <w:tr w:rsidR="00EE1A4B" w:rsidRPr="00EE1A4B" w:rsidTr="005339EF">
        <w:tc>
          <w:tcPr>
            <w:tcW w:w="1071" w:type="pct"/>
            <w:vAlign w:val="bottom"/>
          </w:tcPr>
          <w:p w:rsidR="006726B8" w:rsidRPr="00EE1A4B" w:rsidRDefault="006726B8" w:rsidP="006726B8">
            <w:pPr>
              <w:rPr>
                <w:bCs/>
                <w:iCs/>
              </w:rPr>
            </w:pPr>
            <w:r w:rsidRPr="00EE1A4B">
              <w:t>Основное направление деятельности</w:t>
            </w:r>
          </w:p>
        </w:tc>
        <w:tc>
          <w:tcPr>
            <w:tcW w:w="1716" w:type="pct"/>
            <w:vAlign w:val="bottom"/>
          </w:tcPr>
          <w:p w:rsidR="006726B8" w:rsidRPr="00EE1A4B" w:rsidRDefault="006726B8" w:rsidP="006726B8">
            <w:pPr>
              <w:rPr>
                <w:bCs/>
                <w:iCs/>
              </w:rPr>
            </w:pPr>
            <w:r w:rsidRPr="00EE1A4B">
              <w:rPr>
                <w:bCs/>
                <w:iCs/>
              </w:rPr>
              <w:t xml:space="preserve">Обслуживание всех отраслей промышленности </w:t>
            </w:r>
          </w:p>
        </w:tc>
        <w:tc>
          <w:tcPr>
            <w:tcW w:w="2213" w:type="pct"/>
            <w:vAlign w:val="bottom"/>
          </w:tcPr>
          <w:p w:rsidR="006726B8" w:rsidRPr="00EE1A4B" w:rsidRDefault="006726B8" w:rsidP="006726B8">
            <w:pPr>
              <w:rPr>
                <w:bCs/>
                <w:iCs/>
              </w:rPr>
            </w:pPr>
            <w:r w:rsidRPr="00EE1A4B">
              <w:rPr>
                <w:bCs/>
                <w:iCs/>
              </w:rPr>
              <w:t>Обслуживание отдельных отраслей промышленности; производство продукции для узких сегментов рынка, не более 3-х – 5.</w:t>
            </w:r>
          </w:p>
        </w:tc>
      </w:tr>
      <w:tr w:rsidR="00EE1A4B" w:rsidRPr="00EE1A4B" w:rsidTr="005339EF">
        <w:trPr>
          <w:trHeight w:val="901"/>
        </w:trPr>
        <w:tc>
          <w:tcPr>
            <w:tcW w:w="1071" w:type="pct"/>
            <w:vAlign w:val="bottom"/>
          </w:tcPr>
          <w:p w:rsidR="006726B8" w:rsidRPr="00EE1A4B" w:rsidRDefault="006726B8" w:rsidP="006726B8">
            <w:pPr>
              <w:rPr>
                <w:bCs/>
                <w:iCs/>
              </w:rPr>
            </w:pPr>
            <w:r w:rsidRPr="00EE1A4B">
              <w:t>География присутствия</w:t>
            </w:r>
          </w:p>
        </w:tc>
        <w:tc>
          <w:tcPr>
            <w:tcW w:w="1716" w:type="pct"/>
            <w:vAlign w:val="bottom"/>
          </w:tcPr>
          <w:p w:rsidR="006726B8" w:rsidRPr="00EE1A4B" w:rsidRDefault="006726B8" w:rsidP="006726B8">
            <w:pPr>
              <w:rPr>
                <w:bCs/>
                <w:iCs/>
              </w:rPr>
            </w:pPr>
            <w:r w:rsidRPr="00EE1A4B">
              <w:rPr>
                <w:bCs/>
                <w:iCs/>
              </w:rPr>
              <w:t>Географическая дифференциация, присутствие на зарубежных рынках</w:t>
            </w:r>
          </w:p>
        </w:tc>
        <w:tc>
          <w:tcPr>
            <w:tcW w:w="2213" w:type="pct"/>
            <w:vAlign w:val="bottom"/>
          </w:tcPr>
          <w:p w:rsidR="006726B8" w:rsidRPr="00EE1A4B" w:rsidRDefault="006726B8" w:rsidP="006726B8">
            <w:pPr>
              <w:rPr>
                <w:bCs/>
                <w:iCs/>
              </w:rPr>
            </w:pPr>
            <w:r w:rsidRPr="00EE1A4B">
              <w:rPr>
                <w:bCs/>
                <w:iCs/>
              </w:rPr>
              <w:t>Основное присутствие в отечественной экономике. Ограниченная географическая дифференциация</w:t>
            </w:r>
          </w:p>
        </w:tc>
      </w:tr>
      <w:tr w:rsidR="00EE1A4B" w:rsidRPr="00EE1A4B" w:rsidTr="005339EF">
        <w:tc>
          <w:tcPr>
            <w:tcW w:w="1071" w:type="pct"/>
            <w:vAlign w:val="bottom"/>
          </w:tcPr>
          <w:p w:rsidR="006726B8" w:rsidRPr="00EE1A4B" w:rsidRDefault="006726B8" w:rsidP="006726B8">
            <w:pPr>
              <w:rPr>
                <w:bCs/>
                <w:iCs/>
              </w:rPr>
            </w:pPr>
            <w:r w:rsidRPr="00EE1A4B">
              <w:t>Потребители</w:t>
            </w:r>
          </w:p>
        </w:tc>
        <w:tc>
          <w:tcPr>
            <w:tcW w:w="1716" w:type="pct"/>
            <w:vAlign w:val="bottom"/>
          </w:tcPr>
          <w:p w:rsidR="006726B8" w:rsidRPr="00EE1A4B" w:rsidRDefault="006726B8" w:rsidP="006726B8">
            <w:pPr>
              <w:rPr>
                <w:bCs/>
                <w:iCs/>
              </w:rPr>
            </w:pPr>
            <w:r w:rsidRPr="00EE1A4B">
              <w:rPr>
                <w:bCs/>
                <w:iCs/>
              </w:rPr>
              <w:t>Крупные предприятия и холдинги, интегрированные компании, прочие юридические лица</w:t>
            </w:r>
          </w:p>
        </w:tc>
        <w:tc>
          <w:tcPr>
            <w:tcW w:w="2213" w:type="pct"/>
            <w:vAlign w:val="bottom"/>
          </w:tcPr>
          <w:p w:rsidR="006726B8" w:rsidRPr="00EE1A4B" w:rsidRDefault="006726B8" w:rsidP="006726B8">
            <w:pPr>
              <w:rPr>
                <w:bCs/>
                <w:iCs/>
              </w:rPr>
            </w:pPr>
            <w:r w:rsidRPr="00EE1A4B">
              <w:rPr>
                <w:bCs/>
                <w:iCs/>
              </w:rPr>
              <w:t>Основные проекты в реализации частных узконаправленных компаний</w:t>
            </w:r>
          </w:p>
        </w:tc>
      </w:tr>
      <w:tr w:rsidR="00EE1A4B" w:rsidRPr="00EE1A4B" w:rsidTr="005339EF">
        <w:trPr>
          <w:trHeight w:val="786"/>
        </w:trPr>
        <w:tc>
          <w:tcPr>
            <w:tcW w:w="1071" w:type="pct"/>
            <w:vAlign w:val="bottom"/>
          </w:tcPr>
          <w:p w:rsidR="006726B8" w:rsidRPr="00EE1A4B" w:rsidRDefault="00B96141" w:rsidP="00B96141">
            <w:pPr>
              <w:rPr>
                <w:bCs/>
                <w:iCs/>
              </w:rPr>
            </w:pPr>
            <w:r w:rsidRPr="00EE1A4B">
              <w:rPr>
                <w:bCs/>
                <w:iCs/>
              </w:rPr>
              <w:t>Объем продаж (в</w:t>
            </w:r>
            <w:r w:rsidR="006726B8" w:rsidRPr="00EE1A4B">
              <w:rPr>
                <w:bCs/>
                <w:iCs/>
              </w:rPr>
              <w:t>ыручка, млн. руб.</w:t>
            </w:r>
            <w:r w:rsidRPr="00EE1A4B">
              <w:rPr>
                <w:bCs/>
                <w:iCs/>
              </w:rPr>
              <w:t>)</w:t>
            </w:r>
          </w:p>
        </w:tc>
        <w:tc>
          <w:tcPr>
            <w:tcW w:w="1716" w:type="pct"/>
            <w:vAlign w:val="bottom"/>
          </w:tcPr>
          <w:p w:rsidR="006726B8" w:rsidRPr="00EE1A4B" w:rsidRDefault="006726B8" w:rsidP="006726B8">
            <w:pPr>
              <w:rPr>
                <w:bCs/>
                <w:iCs/>
              </w:rPr>
            </w:pPr>
            <w:r w:rsidRPr="00EE1A4B">
              <w:rPr>
                <w:bCs/>
                <w:iCs/>
              </w:rPr>
              <w:t>Свыше 1000</w:t>
            </w:r>
          </w:p>
        </w:tc>
        <w:tc>
          <w:tcPr>
            <w:tcW w:w="2213" w:type="pct"/>
            <w:vAlign w:val="bottom"/>
          </w:tcPr>
          <w:p w:rsidR="006726B8" w:rsidRPr="00EE1A4B" w:rsidRDefault="006726B8" w:rsidP="006726B8">
            <w:pPr>
              <w:rPr>
                <w:bCs/>
                <w:iCs/>
              </w:rPr>
            </w:pPr>
            <w:r w:rsidRPr="00EE1A4B">
              <w:rPr>
                <w:bCs/>
                <w:iCs/>
              </w:rPr>
              <w:t>В среднем не более 500</w:t>
            </w:r>
          </w:p>
        </w:tc>
      </w:tr>
      <w:tr w:rsidR="00EE1A4B" w:rsidRPr="00EE1A4B" w:rsidTr="005339EF">
        <w:tc>
          <w:tcPr>
            <w:tcW w:w="1071" w:type="pct"/>
            <w:vAlign w:val="bottom"/>
          </w:tcPr>
          <w:p w:rsidR="006726B8" w:rsidRPr="00EE1A4B" w:rsidRDefault="00F13AD0" w:rsidP="006726B8">
            <w:pPr>
              <w:rPr>
                <w:bCs/>
                <w:iCs/>
              </w:rPr>
            </w:pPr>
            <w:r w:rsidRPr="00EE1A4B">
              <w:t>Частота заказов</w:t>
            </w:r>
          </w:p>
        </w:tc>
        <w:tc>
          <w:tcPr>
            <w:tcW w:w="1716" w:type="pct"/>
            <w:vAlign w:val="bottom"/>
          </w:tcPr>
          <w:p w:rsidR="006726B8" w:rsidRPr="00EE1A4B" w:rsidRDefault="00F13AD0" w:rsidP="006726B8">
            <w:pPr>
              <w:rPr>
                <w:bCs/>
                <w:iCs/>
              </w:rPr>
            </w:pPr>
            <w:r w:rsidRPr="00EE1A4B">
              <w:rPr>
                <w:bCs/>
                <w:iCs/>
              </w:rPr>
              <w:t>Часто</w:t>
            </w:r>
          </w:p>
        </w:tc>
        <w:tc>
          <w:tcPr>
            <w:tcW w:w="2213" w:type="pct"/>
            <w:vAlign w:val="bottom"/>
          </w:tcPr>
          <w:p w:rsidR="006726B8" w:rsidRPr="00EE1A4B" w:rsidRDefault="00F13AD0" w:rsidP="00F13AD0">
            <w:pPr>
              <w:rPr>
                <w:bCs/>
                <w:iCs/>
              </w:rPr>
            </w:pPr>
            <w:r w:rsidRPr="00EE1A4B">
              <w:t>Плановые обращения, как правило 1-2 раза в пол года</w:t>
            </w:r>
          </w:p>
        </w:tc>
      </w:tr>
      <w:tr w:rsidR="00EE1A4B" w:rsidRPr="00EE1A4B" w:rsidTr="005339EF">
        <w:tc>
          <w:tcPr>
            <w:tcW w:w="1071" w:type="pct"/>
            <w:vAlign w:val="bottom"/>
          </w:tcPr>
          <w:p w:rsidR="006726B8" w:rsidRPr="00EE1A4B" w:rsidRDefault="00F13AD0" w:rsidP="00F13AD0">
            <w:r w:rsidRPr="00EE1A4B">
              <w:t>Отношение к продукции</w:t>
            </w:r>
          </w:p>
        </w:tc>
        <w:tc>
          <w:tcPr>
            <w:tcW w:w="1716" w:type="pct"/>
            <w:vAlign w:val="bottom"/>
          </w:tcPr>
          <w:p w:rsidR="006726B8" w:rsidRPr="00EE1A4B" w:rsidRDefault="00F13AD0" w:rsidP="006726B8">
            <w:pPr>
              <w:rPr>
                <w:bCs/>
                <w:iCs/>
              </w:rPr>
            </w:pPr>
            <w:r w:rsidRPr="00EE1A4B">
              <w:t>Лояльное, высокая нуждаемость</w:t>
            </w:r>
          </w:p>
        </w:tc>
        <w:tc>
          <w:tcPr>
            <w:tcW w:w="2213" w:type="pct"/>
            <w:vAlign w:val="bottom"/>
          </w:tcPr>
          <w:p w:rsidR="006726B8" w:rsidRPr="00EE1A4B" w:rsidRDefault="00F13AD0" w:rsidP="006726B8">
            <w:pPr>
              <w:rPr>
                <w:bCs/>
                <w:iCs/>
              </w:rPr>
            </w:pPr>
            <w:r w:rsidRPr="00EE1A4B">
              <w:t>Необходимость, потребность</w:t>
            </w:r>
          </w:p>
        </w:tc>
      </w:tr>
      <w:tr w:rsidR="00EE1A4B" w:rsidRPr="00EE1A4B" w:rsidTr="005339EF">
        <w:tc>
          <w:tcPr>
            <w:tcW w:w="1071" w:type="pct"/>
            <w:vAlign w:val="bottom"/>
          </w:tcPr>
          <w:p w:rsidR="00F13AD0" w:rsidRPr="00EE1A4B" w:rsidRDefault="00F13AD0" w:rsidP="00F13AD0">
            <w:r w:rsidRPr="00EE1A4B">
              <w:t>Цена</w:t>
            </w:r>
          </w:p>
        </w:tc>
        <w:tc>
          <w:tcPr>
            <w:tcW w:w="1716" w:type="pct"/>
            <w:vAlign w:val="bottom"/>
          </w:tcPr>
          <w:p w:rsidR="00F13AD0" w:rsidRPr="00EE1A4B" w:rsidRDefault="00F13AD0" w:rsidP="006726B8">
            <w:r w:rsidRPr="00EE1A4B">
              <w:t>Баланс цен по услугам</w:t>
            </w:r>
          </w:p>
        </w:tc>
        <w:tc>
          <w:tcPr>
            <w:tcW w:w="2213" w:type="pct"/>
            <w:vAlign w:val="bottom"/>
          </w:tcPr>
          <w:p w:rsidR="00F13AD0" w:rsidRPr="00EE1A4B" w:rsidRDefault="00F13AD0" w:rsidP="006726B8">
            <w:r w:rsidRPr="00EE1A4B">
              <w:t>Цена/качество</w:t>
            </w:r>
          </w:p>
        </w:tc>
      </w:tr>
      <w:tr w:rsidR="00EE1A4B" w:rsidRPr="00EE1A4B" w:rsidTr="005339EF">
        <w:tc>
          <w:tcPr>
            <w:tcW w:w="1071" w:type="pct"/>
            <w:vAlign w:val="bottom"/>
          </w:tcPr>
          <w:p w:rsidR="00F13AD0" w:rsidRPr="00EE1A4B" w:rsidRDefault="00F13AD0" w:rsidP="00F13AD0">
            <w:r w:rsidRPr="00EE1A4B">
              <w:t>Имидж компании</w:t>
            </w:r>
          </w:p>
        </w:tc>
        <w:tc>
          <w:tcPr>
            <w:tcW w:w="1716" w:type="pct"/>
            <w:vAlign w:val="bottom"/>
          </w:tcPr>
          <w:p w:rsidR="00F13AD0" w:rsidRPr="00EE1A4B" w:rsidRDefault="00F13AD0" w:rsidP="006726B8">
            <w:r w:rsidRPr="00EE1A4B">
              <w:t>Работа с крупными компаниями, качество услуг</w:t>
            </w:r>
          </w:p>
        </w:tc>
        <w:tc>
          <w:tcPr>
            <w:tcW w:w="2213" w:type="pct"/>
            <w:vAlign w:val="bottom"/>
          </w:tcPr>
          <w:p w:rsidR="00F13AD0" w:rsidRPr="00EE1A4B" w:rsidRDefault="00F13AD0" w:rsidP="006726B8">
            <w:r w:rsidRPr="00EE1A4B">
              <w:t>Работа с большим числом клиентов</w:t>
            </w:r>
          </w:p>
        </w:tc>
      </w:tr>
      <w:tr w:rsidR="00F13AD0" w:rsidRPr="00EE1A4B" w:rsidTr="005339EF">
        <w:tc>
          <w:tcPr>
            <w:tcW w:w="1071" w:type="pct"/>
            <w:vAlign w:val="bottom"/>
          </w:tcPr>
          <w:p w:rsidR="00F13AD0" w:rsidRPr="00EE1A4B" w:rsidRDefault="00F13AD0" w:rsidP="00F13AD0">
            <w:r w:rsidRPr="00EE1A4B">
              <w:t xml:space="preserve">Выгода / полезность для потребителя </w:t>
            </w:r>
          </w:p>
        </w:tc>
        <w:tc>
          <w:tcPr>
            <w:tcW w:w="1716" w:type="pct"/>
            <w:vAlign w:val="bottom"/>
          </w:tcPr>
          <w:p w:rsidR="00F13AD0" w:rsidRPr="00EE1A4B" w:rsidRDefault="00F13AD0" w:rsidP="006726B8">
            <w:r w:rsidRPr="00EE1A4B">
              <w:t>Использование современных технологий, осведомленность клиентов</w:t>
            </w:r>
          </w:p>
        </w:tc>
        <w:tc>
          <w:tcPr>
            <w:tcW w:w="2213" w:type="pct"/>
            <w:vAlign w:val="bottom"/>
          </w:tcPr>
          <w:p w:rsidR="00F13AD0" w:rsidRPr="00EE1A4B" w:rsidRDefault="00F13AD0" w:rsidP="00F13AD0">
            <w:r w:rsidRPr="00EE1A4B">
              <w:t>Уверенность в качестве</w:t>
            </w:r>
          </w:p>
        </w:tc>
      </w:tr>
    </w:tbl>
    <w:p w:rsidR="00824A47" w:rsidRPr="00EE1A4B" w:rsidRDefault="00824A47">
      <w:pPr>
        <w:rPr>
          <w:rFonts w:ascii="Segoe UI" w:hAnsi="Segoe UI" w:cs="Segoe UI"/>
          <w:shd w:val="clear" w:color="auto" w:fill="FFFFFF"/>
        </w:rPr>
      </w:pPr>
    </w:p>
    <w:p w:rsidR="00F13AD0" w:rsidRPr="00EE1A4B" w:rsidRDefault="00F13AD0" w:rsidP="00F13AD0">
      <w:pPr>
        <w:pStyle w:val="a3"/>
        <w:ind w:left="0" w:firstLine="709"/>
        <w:jc w:val="both"/>
        <w:rPr>
          <w:rFonts w:eastAsia="Calibri"/>
        </w:rPr>
      </w:pPr>
      <w:r w:rsidRPr="00EE1A4B">
        <w:rPr>
          <w:rFonts w:eastAsia="Calibri"/>
        </w:rPr>
        <w:lastRenderedPageBreak/>
        <w:t xml:space="preserve">4. Предложите возможных конкурентов, выберите показатели и постройте две карты стратегических групп для проведения конкурентного анализа любого региона РФ (на ваш выбор) как туристкой </w:t>
      </w:r>
      <w:proofErr w:type="spellStart"/>
      <w:r w:rsidRPr="00EE1A4B">
        <w:rPr>
          <w:rFonts w:eastAsia="Calibri"/>
        </w:rPr>
        <w:t>дестинации</w:t>
      </w:r>
      <w:proofErr w:type="spellEnd"/>
      <w:r w:rsidRPr="00EE1A4B">
        <w:rPr>
          <w:rFonts w:eastAsia="Calibri"/>
        </w:rPr>
        <w:t>.</w:t>
      </w:r>
    </w:p>
    <w:p w:rsidR="00ED02DE" w:rsidRPr="00EE1A4B" w:rsidRDefault="00ED02DE" w:rsidP="00F13AD0">
      <w:pPr>
        <w:ind w:firstLine="709"/>
        <w:jc w:val="both"/>
        <w:rPr>
          <w:shd w:val="clear" w:color="auto" w:fill="FFFFFF"/>
        </w:rPr>
      </w:pPr>
    </w:p>
    <w:p w:rsidR="001F7686" w:rsidRPr="00EE1A4B" w:rsidRDefault="001F7686" w:rsidP="00C20C8D">
      <w:pPr>
        <w:ind w:firstLine="709"/>
        <w:jc w:val="both"/>
        <w:rPr>
          <w:shd w:val="clear" w:color="auto" w:fill="FFFFFF"/>
        </w:rPr>
      </w:pPr>
      <w:r w:rsidRPr="00EE1A4B">
        <w:rPr>
          <w:shd w:val="clear" w:color="auto" w:fill="FFFFFF"/>
        </w:rPr>
        <w:t>Регион</w:t>
      </w:r>
      <w:r w:rsidR="00115C61" w:rsidRPr="00EE1A4B">
        <w:rPr>
          <w:shd w:val="clear" w:color="auto" w:fill="FFFFFF"/>
        </w:rPr>
        <w:t>ы: Московская область и Краснодарский край</w:t>
      </w:r>
      <w:r w:rsidR="004553C8" w:rsidRPr="00EE1A4B">
        <w:rPr>
          <w:shd w:val="clear" w:color="auto" w:fill="FFFFFF"/>
        </w:rPr>
        <w:t>.</w:t>
      </w:r>
    </w:p>
    <w:p w:rsidR="004553C8" w:rsidRPr="00EE1A4B" w:rsidRDefault="004553C8" w:rsidP="00C20C8D">
      <w:pPr>
        <w:ind w:firstLine="709"/>
        <w:jc w:val="both"/>
        <w:rPr>
          <w:shd w:val="clear" w:color="auto" w:fill="FFFFFF"/>
        </w:rPr>
      </w:pPr>
      <w:r w:rsidRPr="00EE1A4B">
        <w:rPr>
          <w:shd w:val="clear" w:color="auto" w:fill="FFFFFF"/>
        </w:rPr>
        <w:t xml:space="preserve">Краснодарский край – регион летнего отдыха с </w:t>
      </w:r>
      <w:r w:rsidR="00C20C8D" w:rsidRPr="00EE1A4B">
        <w:rPr>
          <w:shd w:val="clear" w:color="auto" w:fill="FFFFFF"/>
        </w:rPr>
        <w:t>развитыми туристическими факторами,</w:t>
      </w:r>
      <w:r w:rsidRPr="00EE1A4B">
        <w:rPr>
          <w:shd w:val="clear" w:color="auto" w:fill="FFFFFF"/>
        </w:rPr>
        <w:t xml:space="preserve"> привлекающими население.</w:t>
      </w:r>
    </w:p>
    <w:p w:rsidR="004553C8" w:rsidRPr="00EE1A4B" w:rsidRDefault="004553C8" w:rsidP="00C20C8D">
      <w:pPr>
        <w:ind w:firstLine="709"/>
        <w:jc w:val="both"/>
        <w:rPr>
          <w:shd w:val="clear" w:color="auto" w:fill="FFFFFF"/>
        </w:rPr>
      </w:pPr>
      <w:r w:rsidRPr="00EE1A4B">
        <w:rPr>
          <w:shd w:val="clear" w:color="auto" w:fill="FFFFFF"/>
        </w:rPr>
        <w:t>Московская область – регион всесезонного отдыха, привлекающий объектами туристической инфраструктуры.</w:t>
      </w:r>
    </w:p>
    <w:p w:rsidR="00C20C8D" w:rsidRPr="00EE1A4B" w:rsidRDefault="00C20C8D" w:rsidP="00C20C8D">
      <w:pPr>
        <w:ind w:firstLine="709"/>
        <w:jc w:val="both"/>
        <w:rPr>
          <w:shd w:val="clear" w:color="auto" w:fill="FFFFFF"/>
        </w:rPr>
      </w:pPr>
      <w:r w:rsidRPr="00EE1A4B">
        <w:rPr>
          <w:shd w:val="clear" w:color="auto" w:fill="FFFFFF"/>
        </w:rPr>
        <w:t>Регионы привлекают туристов, благодаря своим культурным особенностям и фактора. Краснодарский край – природные факторы, Московская область – близость к столице России и также природные факторы и климатические условия для людей, склонных к аллергии.</w:t>
      </w:r>
    </w:p>
    <w:p w:rsidR="001F7686" w:rsidRPr="00EE1A4B" w:rsidRDefault="00C20C8D" w:rsidP="00C20C8D">
      <w:pPr>
        <w:ind w:firstLine="709"/>
        <w:jc w:val="both"/>
        <w:rPr>
          <w:shd w:val="clear" w:color="auto" w:fill="FFFFFF"/>
        </w:rPr>
      </w:pPr>
      <w:r w:rsidRPr="00EE1A4B">
        <w:rPr>
          <w:shd w:val="clear" w:color="auto" w:fill="FFFFFF"/>
        </w:rPr>
        <w:t>На рисунке 2 представим карту стратегических групп туристический поток- коллективные средства размещения (КСР).</w:t>
      </w:r>
    </w:p>
    <w:p w:rsidR="00FA3B80" w:rsidRPr="00EE1A4B" w:rsidRDefault="00FA3B80" w:rsidP="00115C61">
      <w:pPr>
        <w:jc w:val="center"/>
        <w:rPr>
          <w:rFonts w:ascii="Segoe UI" w:hAnsi="Segoe UI" w:cs="Segoe UI"/>
          <w:shd w:val="clear" w:color="auto" w:fill="FFFFFF"/>
        </w:rPr>
      </w:pPr>
      <w:r w:rsidRPr="00EE1A4B">
        <w:rPr>
          <w:rFonts w:ascii="Segoe UI" w:hAnsi="Segoe UI" w:cs="Segoe UI"/>
          <w:noProof/>
          <w:shd w:val="clear" w:color="auto" w:fill="FFFFFF"/>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3AD0" w:rsidRPr="00EE1A4B" w:rsidRDefault="00FA3B80" w:rsidP="00115C61">
      <w:pPr>
        <w:ind w:firstLine="709"/>
        <w:jc w:val="center"/>
        <w:rPr>
          <w:shd w:val="clear" w:color="auto" w:fill="FFFFFF"/>
        </w:rPr>
      </w:pPr>
      <w:r w:rsidRPr="00EE1A4B">
        <w:rPr>
          <w:shd w:val="clear" w:color="auto" w:fill="FFFFFF"/>
        </w:rPr>
        <w:t xml:space="preserve">Рисунок </w:t>
      </w:r>
      <w:r w:rsidR="00573B9C" w:rsidRPr="00EE1A4B">
        <w:rPr>
          <w:shd w:val="clear" w:color="auto" w:fill="FFFFFF"/>
        </w:rPr>
        <w:t>–</w:t>
      </w:r>
      <w:r w:rsidRPr="00EE1A4B">
        <w:rPr>
          <w:shd w:val="clear" w:color="auto" w:fill="FFFFFF"/>
        </w:rPr>
        <w:t xml:space="preserve"> </w:t>
      </w:r>
      <w:r w:rsidR="00573B9C" w:rsidRPr="00EE1A4B">
        <w:rPr>
          <w:shd w:val="clear" w:color="auto" w:fill="FFFFFF"/>
        </w:rPr>
        <w:t xml:space="preserve">2 – Карта стратегических групп </w:t>
      </w:r>
      <w:r w:rsidR="00115C61" w:rsidRPr="00EE1A4B">
        <w:rPr>
          <w:shd w:val="clear" w:color="auto" w:fill="FFFFFF"/>
        </w:rPr>
        <w:t>туристический поток-КСР</w:t>
      </w:r>
      <w:r w:rsidR="000C4E46" w:rsidRPr="00EE1A4B">
        <w:rPr>
          <w:rStyle w:val="aa"/>
          <w:shd w:val="clear" w:color="auto" w:fill="FFFFFF"/>
        </w:rPr>
        <w:footnoteReference w:id="6"/>
      </w:r>
    </w:p>
    <w:p w:rsidR="00115C61" w:rsidRPr="00EE1A4B" w:rsidRDefault="00115C61" w:rsidP="00115C61">
      <w:pPr>
        <w:ind w:firstLine="709"/>
        <w:jc w:val="center"/>
        <w:rPr>
          <w:shd w:val="clear" w:color="auto" w:fill="FFFFFF"/>
        </w:rPr>
      </w:pPr>
    </w:p>
    <w:p w:rsidR="001F7686" w:rsidRPr="00EE1A4B" w:rsidRDefault="00C20C8D" w:rsidP="00237602">
      <w:pPr>
        <w:ind w:firstLine="709"/>
        <w:jc w:val="both"/>
        <w:rPr>
          <w:shd w:val="clear" w:color="auto" w:fill="FFFFFF"/>
        </w:rPr>
      </w:pPr>
      <w:r w:rsidRPr="00EE1A4B">
        <w:rPr>
          <w:shd w:val="clear" w:color="auto" w:fill="FFFFFF"/>
        </w:rPr>
        <w:t>Согласно данным рисунка 2, Краснодарский край имеет больший туристический поток в сравнении с Московской областью на 0,5 млн. чел. Также Краснодарский край имеет большее количество мест размещений.</w:t>
      </w:r>
    </w:p>
    <w:p w:rsidR="00237602" w:rsidRPr="00EE1A4B" w:rsidRDefault="00237602" w:rsidP="00237602">
      <w:pPr>
        <w:ind w:firstLine="709"/>
        <w:jc w:val="both"/>
        <w:rPr>
          <w:shd w:val="clear" w:color="auto" w:fill="FFFFFF"/>
        </w:rPr>
      </w:pPr>
      <w:r w:rsidRPr="00EE1A4B">
        <w:rPr>
          <w:shd w:val="clear" w:color="auto" w:fill="FFFFFF"/>
        </w:rPr>
        <w:t>На рисунке 3 представим карту стратегических групп количество культурных объектов-индекс потребительских цен</w:t>
      </w:r>
      <w:r w:rsidR="00F45E90" w:rsidRPr="00EE1A4B">
        <w:rPr>
          <w:shd w:val="clear" w:color="auto" w:fill="FFFFFF"/>
        </w:rPr>
        <w:t xml:space="preserve"> (ИПЦ)</w:t>
      </w:r>
      <w:r w:rsidRPr="00EE1A4B">
        <w:rPr>
          <w:shd w:val="clear" w:color="auto" w:fill="FFFFFF"/>
        </w:rPr>
        <w:t>, как привлекательность регионов в качестве туризма.</w:t>
      </w:r>
    </w:p>
    <w:p w:rsidR="0002557B" w:rsidRPr="00EE1A4B" w:rsidRDefault="00E35A23" w:rsidP="00237602">
      <w:pPr>
        <w:ind w:firstLine="709"/>
        <w:jc w:val="both"/>
        <w:rPr>
          <w:shd w:val="clear" w:color="auto" w:fill="FFFFFF"/>
        </w:rPr>
      </w:pPr>
      <w:r w:rsidRPr="00EE1A4B">
        <w:rPr>
          <w:shd w:val="clear" w:color="auto" w:fill="FFFFFF"/>
        </w:rPr>
        <w:t xml:space="preserve">Согласно данным Краснодарский край на карте имеет более выигрышную позицию по количеству культурных объектов. </w:t>
      </w:r>
      <w:r w:rsidR="003D7658" w:rsidRPr="00EE1A4B">
        <w:rPr>
          <w:shd w:val="clear" w:color="auto" w:fill="FFFFFF"/>
        </w:rPr>
        <w:t>В Краснодарском крае 19,4 тыс. культурных объектов для повышения эффективности туристического бизнеса.</w:t>
      </w:r>
      <w:r w:rsidR="0002557B" w:rsidRPr="00EE1A4B">
        <w:rPr>
          <w:shd w:val="clear" w:color="auto" w:fill="FFFFFF"/>
        </w:rPr>
        <w:t xml:space="preserve"> В Московской области всего 5,9 тыс. объектов культуры.</w:t>
      </w:r>
    </w:p>
    <w:p w:rsidR="00A8476E" w:rsidRPr="00EE1A4B" w:rsidRDefault="00A8476E" w:rsidP="00F45E90">
      <w:pPr>
        <w:ind w:firstLine="709"/>
        <w:jc w:val="center"/>
        <w:rPr>
          <w:rFonts w:ascii="Segoe UI" w:hAnsi="Segoe UI" w:cs="Segoe UI"/>
          <w:shd w:val="clear" w:color="auto" w:fill="FFFFFF"/>
        </w:rPr>
      </w:pPr>
      <w:r w:rsidRPr="00EE1A4B">
        <w:rPr>
          <w:rFonts w:ascii="Segoe UI" w:hAnsi="Segoe UI" w:cs="Segoe UI"/>
          <w:noProof/>
          <w:shd w:val="clear" w:color="auto" w:fill="FFFFFF"/>
        </w:rPr>
        <w:lastRenderedPageBreak/>
        <w:drawing>
          <wp:inline distT="0" distB="0" distL="0" distR="0" wp14:anchorId="70F37B6C" wp14:editId="47D2C20A">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476E" w:rsidRPr="00EE1A4B" w:rsidRDefault="00A8476E" w:rsidP="00A8476E">
      <w:pPr>
        <w:ind w:firstLine="709"/>
        <w:jc w:val="center"/>
        <w:rPr>
          <w:shd w:val="clear" w:color="auto" w:fill="FFFFFF"/>
        </w:rPr>
      </w:pPr>
      <w:r w:rsidRPr="00EE1A4B">
        <w:rPr>
          <w:shd w:val="clear" w:color="auto" w:fill="FFFFFF"/>
        </w:rPr>
        <w:t>Рисунок 2 – Карта стратегических групп количество культурных объектов- ИПЦ</w:t>
      </w:r>
      <w:r w:rsidR="00D27E88" w:rsidRPr="00EE1A4B">
        <w:rPr>
          <w:rStyle w:val="aa"/>
          <w:shd w:val="clear" w:color="auto" w:fill="FFFFFF"/>
        </w:rPr>
        <w:footnoteReference w:id="7"/>
      </w:r>
    </w:p>
    <w:p w:rsidR="00A8476E" w:rsidRPr="00EE1A4B" w:rsidRDefault="00A8476E" w:rsidP="00A8476E">
      <w:pPr>
        <w:ind w:firstLine="709"/>
        <w:jc w:val="center"/>
        <w:rPr>
          <w:shd w:val="clear" w:color="auto" w:fill="FFFFFF"/>
        </w:rPr>
      </w:pPr>
    </w:p>
    <w:p w:rsidR="00F45E90" w:rsidRPr="00EE1A4B" w:rsidRDefault="00F45E90" w:rsidP="00F45E90">
      <w:pPr>
        <w:ind w:firstLine="709"/>
        <w:jc w:val="both"/>
        <w:rPr>
          <w:shd w:val="clear" w:color="auto" w:fill="FFFFFF"/>
        </w:rPr>
      </w:pPr>
      <w:r w:rsidRPr="00EE1A4B">
        <w:rPr>
          <w:shd w:val="clear" w:color="auto" w:fill="FFFFFF"/>
        </w:rPr>
        <w:t xml:space="preserve">По ИПЦ краснодарский край превышает значения Московской области и составляет 109,95 %, против 107,27 %, что говорит о более высоких ценах по туристическому и смежному </w:t>
      </w:r>
      <w:r w:rsidRPr="00EE1A4B">
        <w:rPr>
          <w:shd w:val="clear" w:color="auto" w:fill="FFFFFF"/>
          <w14:textOutline w14:w="9525" w14:cap="rnd" w14:cmpd="sng" w14:algn="ctr">
            <w14:solidFill>
              <w14:schemeClr w14:val="bg2">
                <w14:alpha w14:val="100000"/>
              </w14:schemeClr>
            </w14:solidFill>
            <w14:prstDash w14:val="solid"/>
            <w14:bevel/>
          </w14:textOutline>
        </w:rPr>
        <w:t>направлению</w:t>
      </w:r>
      <w:r w:rsidRPr="00EE1A4B">
        <w:rPr>
          <w:shd w:val="clear" w:color="auto" w:fill="FFFFFF"/>
        </w:rPr>
        <w:t>.</w:t>
      </w:r>
    </w:p>
    <w:p w:rsidR="00A8476E" w:rsidRPr="00EE1A4B" w:rsidRDefault="00F45E90" w:rsidP="00F13AD0">
      <w:pPr>
        <w:ind w:firstLine="709"/>
        <w:jc w:val="both"/>
        <w:rPr>
          <w:shd w:val="clear" w:color="auto" w:fill="FFFFFF"/>
        </w:rPr>
      </w:pPr>
      <w:r w:rsidRPr="00EE1A4B">
        <w:rPr>
          <w:shd w:val="clear" w:color="auto" w:fill="FFFFFF"/>
        </w:rPr>
        <w:t>На основании проведенного исследования можно сделать вывод, что туризм по направлению Краснодарского края является более привлекательным в сравнении с Московской областью.</w:t>
      </w:r>
    </w:p>
    <w:p w:rsidR="00A8476E" w:rsidRPr="00EE1A4B" w:rsidRDefault="00A8476E" w:rsidP="00F13AD0">
      <w:pPr>
        <w:ind w:firstLine="709"/>
        <w:jc w:val="both"/>
        <w:rPr>
          <w:rFonts w:ascii="Arial" w:hAnsi="Arial" w:cs="Arial"/>
          <w:shd w:val="clear" w:color="auto" w:fill="FFFFFF"/>
        </w:rPr>
      </w:pPr>
    </w:p>
    <w:p w:rsidR="00F13AD0" w:rsidRPr="00EE1A4B" w:rsidRDefault="00F13AD0" w:rsidP="00F13AD0">
      <w:pPr>
        <w:pStyle w:val="a3"/>
        <w:numPr>
          <w:ilvl w:val="0"/>
          <w:numId w:val="1"/>
        </w:numPr>
        <w:ind w:left="0" w:firstLine="709"/>
        <w:jc w:val="both"/>
        <w:rPr>
          <w:rFonts w:eastAsia="Calibri"/>
        </w:rPr>
      </w:pPr>
      <w:r w:rsidRPr="00EE1A4B">
        <w:rPr>
          <w:rFonts w:eastAsia="Calibri"/>
        </w:rPr>
        <w:t>8 мая 1886 года напиток «</w:t>
      </w:r>
      <w:proofErr w:type="spellStart"/>
      <w:r w:rsidRPr="00EE1A4B">
        <w:rPr>
          <w:rFonts w:eastAsia="Calibri"/>
        </w:rPr>
        <w:t>Coca</w:t>
      </w:r>
      <w:proofErr w:type="spellEnd"/>
      <w:r w:rsidRPr="00EE1A4B">
        <w:rPr>
          <w:rFonts w:eastAsia="Calibri"/>
        </w:rPr>
        <w:t xml:space="preserve"> </w:t>
      </w:r>
      <w:proofErr w:type="spellStart"/>
      <w:r w:rsidRPr="00EE1A4B">
        <w:rPr>
          <w:rFonts w:eastAsia="Calibri"/>
        </w:rPr>
        <w:t>Cola</w:t>
      </w:r>
      <w:proofErr w:type="spellEnd"/>
      <w:r w:rsidRPr="00EE1A4B">
        <w:rPr>
          <w:rFonts w:eastAsia="Calibri"/>
        </w:rPr>
        <w:t>» выпустили в продажу в качестве содовой, и стоил он 5 центов за стакан. В 1902 году оборот компании составил 120 000 долларов. В этом же году появился первый и главный конкурент компании «</w:t>
      </w:r>
      <w:proofErr w:type="spellStart"/>
      <w:r w:rsidRPr="00EE1A4B">
        <w:rPr>
          <w:rFonts w:eastAsia="Calibri"/>
        </w:rPr>
        <w:t>Pepsi-Cola</w:t>
      </w:r>
      <w:proofErr w:type="spellEnd"/>
      <w:r w:rsidRPr="00EE1A4B">
        <w:rPr>
          <w:rFonts w:eastAsia="Calibri"/>
        </w:rPr>
        <w:t>». На пике своего развития компания занимала 73% доли рынка. Однако с начала 2000х доля рынка компании снизилась, хотя и не очень значительно.</w:t>
      </w:r>
    </w:p>
    <w:p w:rsidR="00F13AD0" w:rsidRPr="00EE1A4B" w:rsidRDefault="00F13AD0" w:rsidP="00F13AD0">
      <w:pPr>
        <w:pStyle w:val="a3"/>
        <w:ind w:left="0" w:firstLine="709"/>
        <w:jc w:val="both"/>
        <w:rPr>
          <w:rFonts w:eastAsia="Calibri"/>
        </w:rPr>
      </w:pPr>
      <w:r w:rsidRPr="00EE1A4B">
        <w:rPr>
          <w:rFonts w:eastAsia="Calibri"/>
        </w:rPr>
        <w:t>- Укажите этап ЖЦТ, на котором находится ключевой продукт компании – одноименный газированный напиток.</w:t>
      </w:r>
    </w:p>
    <w:p w:rsidR="00F13AD0" w:rsidRPr="00EE1A4B" w:rsidRDefault="00F13AD0" w:rsidP="00F13AD0">
      <w:pPr>
        <w:pStyle w:val="a3"/>
        <w:ind w:left="0" w:firstLine="709"/>
        <w:jc w:val="both"/>
        <w:rPr>
          <w:rFonts w:eastAsia="Calibri"/>
        </w:rPr>
      </w:pPr>
      <w:r w:rsidRPr="00EE1A4B">
        <w:rPr>
          <w:rFonts w:eastAsia="Calibri"/>
        </w:rPr>
        <w:t xml:space="preserve">- Определите товарную стратегию для данного товара.  </w:t>
      </w:r>
    </w:p>
    <w:p w:rsidR="00F13AD0" w:rsidRPr="00EE1A4B" w:rsidRDefault="00F13AD0" w:rsidP="00F13AD0">
      <w:pPr>
        <w:pStyle w:val="a3"/>
        <w:ind w:left="0" w:firstLine="709"/>
        <w:jc w:val="both"/>
        <w:rPr>
          <w:rFonts w:eastAsia="Calibri"/>
        </w:rPr>
      </w:pPr>
    </w:p>
    <w:p w:rsidR="00BB3021" w:rsidRPr="00EE1A4B" w:rsidRDefault="00E203DD" w:rsidP="00F13AD0">
      <w:pPr>
        <w:pStyle w:val="a3"/>
        <w:ind w:left="0" w:firstLine="709"/>
        <w:jc w:val="both"/>
        <w:rPr>
          <w:rFonts w:eastAsia="Calibri"/>
        </w:rPr>
      </w:pPr>
      <w:r w:rsidRPr="00EE1A4B">
        <w:rPr>
          <w:rFonts w:eastAsia="Calibri"/>
        </w:rPr>
        <w:t>Компания на пи</w:t>
      </w:r>
      <w:r w:rsidR="00BB3021" w:rsidRPr="00EE1A4B">
        <w:rPr>
          <w:rFonts w:eastAsia="Calibri"/>
        </w:rPr>
        <w:t>ке продаж находилась в стадии зрелости. После того как, доля рынка компании снизилась незначите</w:t>
      </w:r>
      <w:r w:rsidRPr="00EE1A4B">
        <w:rPr>
          <w:rFonts w:eastAsia="Calibri"/>
        </w:rPr>
        <w:t xml:space="preserve">льно, компания перешла в кризисное состояние. Однако напиток компании находится до сих пор в стадии зрелости, однако отмечался кризис данной стадии в связи со снижением объёма продаж. </w:t>
      </w:r>
    </w:p>
    <w:p w:rsidR="00BB3021" w:rsidRPr="00EE1A4B" w:rsidRDefault="005843D5" w:rsidP="00F13AD0">
      <w:pPr>
        <w:pStyle w:val="a3"/>
        <w:ind w:left="0" w:firstLine="709"/>
        <w:jc w:val="both"/>
        <w:rPr>
          <w:rFonts w:eastAsia="Calibri"/>
        </w:rPr>
      </w:pPr>
      <w:r w:rsidRPr="00EE1A4B">
        <w:rPr>
          <w:rFonts w:eastAsia="Calibri"/>
        </w:rPr>
        <w:t xml:space="preserve">Товарная стратегия – </w:t>
      </w:r>
      <w:r w:rsidR="00EE1289" w:rsidRPr="00EE1A4B">
        <w:rPr>
          <w:rFonts w:eastAsia="Calibri"/>
        </w:rPr>
        <w:t>с</w:t>
      </w:r>
      <w:r w:rsidRPr="00EE1A4B">
        <w:rPr>
          <w:shd w:val="clear" w:color="auto" w:fill="FFFFFF"/>
        </w:rPr>
        <w:t>тратегия инноваций</w:t>
      </w:r>
      <w:r w:rsidR="00EE1289" w:rsidRPr="00EE1A4B">
        <w:rPr>
          <w:shd w:val="clear" w:color="auto" w:fill="FFFFFF"/>
        </w:rPr>
        <w:t>, основанная на стабильном росте</w:t>
      </w:r>
      <w:r w:rsidRPr="00EE1A4B">
        <w:rPr>
          <w:shd w:val="clear" w:color="auto" w:fill="FFFFFF"/>
        </w:rPr>
        <w:t xml:space="preserve">. </w:t>
      </w:r>
      <w:proofErr w:type="spellStart"/>
      <w:r w:rsidRPr="00EE1A4B">
        <w:rPr>
          <w:rFonts w:eastAsia="Calibri"/>
        </w:rPr>
        <w:t>Coca</w:t>
      </w:r>
      <w:proofErr w:type="spellEnd"/>
      <w:r w:rsidRPr="00EE1A4B">
        <w:rPr>
          <w:rFonts w:eastAsia="Calibri"/>
        </w:rPr>
        <w:t xml:space="preserve"> </w:t>
      </w:r>
      <w:proofErr w:type="spellStart"/>
      <w:r w:rsidRPr="00EE1A4B">
        <w:rPr>
          <w:rFonts w:eastAsia="Calibri"/>
        </w:rPr>
        <w:t>Cola</w:t>
      </w:r>
      <w:proofErr w:type="spellEnd"/>
      <w:r w:rsidRPr="00EE1A4B">
        <w:t xml:space="preserve"> разработала новый продукт, который на начальной стадии жизненного цикла не имел </w:t>
      </w:r>
      <w:r w:rsidRPr="00EE1A4B">
        <w:lastRenderedPageBreak/>
        <w:t>конкурентов. В дальнейшем компания углубила стратегию д</w:t>
      </w:r>
      <w:r w:rsidRPr="00EE1A4B">
        <w:rPr>
          <w:iCs/>
        </w:rPr>
        <w:t>ифференциации товара, чтобы бороться с конкурентами</w:t>
      </w:r>
      <w:r w:rsidR="00EE1289" w:rsidRPr="00EE1A4B">
        <w:rPr>
          <w:iCs/>
        </w:rPr>
        <w:t xml:space="preserve"> - </w:t>
      </w:r>
      <w:proofErr w:type="spellStart"/>
      <w:r w:rsidR="00EE1289" w:rsidRPr="00EE1A4B">
        <w:rPr>
          <w:rFonts w:eastAsia="Calibri"/>
        </w:rPr>
        <w:t>Pepsi-Cola</w:t>
      </w:r>
      <w:proofErr w:type="spellEnd"/>
      <w:r w:rsidRPr="00EE1A4B">
        <w:rPr>
          <w:iCs/>
        </w:rPr>
        <w:t>.</w:t>
      </w:r>
      <w:r w:rsidR="00F01265" w:rsidRPr="00EE1A4B">
        <w:rPr>
          <w:rStyle w:val="aa"/>
          <w:iCs/>
        </w:rPr>
        <w:footnoteReference w:id="8"/>
      </w:r>
    </w:p>
    <w:p w:rsidR="00BB3021" w:rsidRPr="00EE1A4B" w:rsidRDefault="00BB3021" w:rsidP="00F13AD0">
      <w:pPr>
        <w:pStyle w:val="a3"/>
        <w:ind w:left="0" w:firstLine="709"/>
        <w:jc w:val="both"/>
        <w:rPr>
          <w:rFonts w:eastAsia="Calibri"/>
        </w:rPr>
      </w:pPr>
    </w:p>
    <w:p w:rsidR="00F13AD0" w:rsidRPr="00EE1A4B" w:rsidRDefault="00F13AD0" w:rsidP="00F13AD0">
      <w:pPr>
        <w:pStyle w:val="a3"/>
        <w:numPr>
          <w:ilvl w:val="0"/>
          <w:numId w:val="1"/>
        </w:numPr>
        <w:spacing w:after="160" w:line="259" w:lineRule="auto"/>
        <w:ind w:left="0" w:firstLine="360"/>
        <w:jc w:val="both"/>
        <w:rPr>
          <w:rFonts w:eastAsia="Calibri"/>
        </w:rPr>
      </w:pPr>
      <w:r w:rsidRPr="00EE1A4B">
        <w:rPr>
          <w:rFonts w:eastAsia="Calibri"/>
        </w:rPr>
        <w:t xml:space="preserve">На фоне тотального снижения продаж автомобилей в результате ситуации с </w:t>
      </w:r>
      <w:proofErr w:type="spellStart"/>
      <w:r w:rsidRPr="00EE1A4B">
        <w:rPr>
          <w:rFonts w:eastAsia="Calibri"/>
        </w:rPr>
        <w:t>коронавирусом</w:t>
      </w:r>
      <w:proofErr w:type="spellEnd"/>
      <w:r w:rsidRPr="00EE1A4B">
        <w:rPr>
          <w:rFonts w:eastAsia="Calibri"/>
        </w:rPr>
        <w:t xml:space="preserve"> электромобили и </w:t>
      </w:r>
      <w:proofErr w:type="spellStart"/>
      <w:r w:rsidRPr="00EE1A4B">
        <w:rPr>
          <w:rFonts w:eastAsia="Calibri"/>
        </w:rPr>
        <w:t>plug-in</w:t>
      </w:r>
      <w:proofErr w:type="spellEnd"/>
      <w:r w:rsidRPr="00EE1A4B">
        <w:rPr>
          <w:rFonts w:eastAsia="Calibri"/>
        </w:rPr>
        <w:t xml:space="preserve"> гибриды по-прежнему пока в плюсе. В 2026 году вступит в действие новый пакет экологических норм, которые в 2030 году будут еще ужесточены. Компания </w:t>
      </w:r>
      <w:proofErr w:type="spellStart"/>
      <w:r w:rsidRPr="00EE1A4B">
        <w:rPr>
          <w:rFonts w:eastAsia="Calibri"/>
        </w:rPr>
        <w:t>Tesla</w:t>
      </w:r>
      <w:proofErr w:type="spellEnd"/>
      <w:r w:rsidRPr="00EE1A4B">
        <w:rPr>
          <w:rFonts w:eastAsia="Calibri"/>
        </w:rPr>
        <w:t xml:space="preserve"> в 2019 году установила новые рекорды объемов продаж и продолжает лидировать, обеспечивая себе 17% доли рынка.</w:t>
      </w:r>
    </w:p>
    <w:p w:rsidR="00F13AD0" w:rsidRPr="00EE1A4B" w:rsidRDefault="00F13AD0" w:rsidP="00F13AD0">
      <w:pPr>
        <w:pStyle w:val="a3"/>
        <w:numPr>
          <w:ilvl w:val="0"/>
          <w:numId w:val="6"/>
        </w:numPr>
        <w:jc w:val="both"/>
      </w:pPr>
      <w:r w:rsidRPr="00EE1A4B">
        <w:t>Как можно охарактеризовать текущее положение компании на рынке?</w:t>
      </w:r>
    </w:p>
    <w:p w:rsidR="00F13AD0" w:rsidRPr="00EE1A4B" w:rsidRDefault="00F13AD0" w:rsidP="00F13AD0">
      <w:pPr>
        <w:pStyle w:val="a3"/>
        <w:numPr>
          <w:ilvl w:val="0"/>
          <w:numId w:val="6"/>
        </w:numPr>
        <w:jc w:val="both"/>
      </w:pPr>
      <w:r w:rsidRPr="00EE1A4B">
        <w:t xml:space="preserve">Какую стратегию согласно матрице Томпсона - </w:t>
      </w:r>
      <w:proofErr w:type="spellStart"/>
      <w:r w:rsidRPr="00EE1A4B">
        <w:t>Стрикленда</w:t>
      </w:r>
      <w:proofErr w:type="spellEnd"/>
      <w:r w:rsidRPr="00EE1A4B">
        <w:t>. следует избрать?</w:t>
      </w:r>
    </w:p>
    <w:p w:rsidR="00F13AD0" w:rsidRPr="00EE1A4B" w:rsidRDefault="00F13AD0" w:rsidP="00F13AD0">
      <w:pPr>
        <w:pStyle w:val="a3"/>
        <w:spacing w:after="160" w:line="259" w:lineRule="auto"/>
        <w:ind w:left="360"/>
        <w:jc w:val="both"/>
        <w:rPr>
          <w:rFonts w:eastAsia="Calibri"/>
        </w:rPr>
      </w:pPr>
    </w:p>
    <w:p w:rsidR="00EE1289" w:rsidRPr="00EE1A4B" w:rsidRDefault="00233154" w:rsidP="007A449E">
      <w:pPr>
        <w:pStyle w:val="a3"/>
        <w:ind w:left="0" w:firstLine="709"/>
        <w:jc w:val="both"/>
        <w:rPr>
          <w:rFonts w:eastAsia="Calibri"/>
        </w:rPr>
      </w:pPr>
      <w:r w:rsidRPr="00EE1A4B">
        <w:rPr>
          <w:rFonts w:eastAsia="Calibri"/>
        </w:rPr>
        <w:t xml:space="preserve">Положение </w:t>
      </w:r>
      <w:proofErr w:type="spellStart"/>
      <w:r w:rsidRPr="00EE1A4B">
        <w:rPr>
          <w:rFonts w:eastAsia="Calibri"/>
        </w:rPr>
        <w:t>Tesla</w:t>
      </w:r>
      <w:proofErr w:type="spellEnd"/>
      <w:r w:rsidRPr="00EE1A4B">
        <w:rPr>
          <w:rFonts w:eastAsia="Calibri"/>
        </w:rPr>
        <w:t xml:space="preserve"> </w:t>
      </w:r>
      <w:r w:rsidR="007160A2" w:rsidRPr="00EE1A4B">
        <w:rPr>
          <w:rFonts w:eastAsia="Calibri"/>
        </w:rPr>
        <w:t xml:space="preserve">благоприятное для наращения доли рынка и роста объемов выручки в виду установления и роста положительных условий для развития деятельности. Влияние внешних правовых факторов в аспекте установления экологических норм и требований будет способствовать росту рынка электромобилей. Поскольку ужесточение экологических норм будет негативно влиять на издержки производителей автомобилей с </w:t>
      </w:r>
      <w:r w:rsidR="005F45D5" w:rsidRPr="00EE1A4B">
        <w:rPr>
          <w:rFonts w:eastAsia="Calibri"/>
        </w:rPr>
        <w:t xml:space="preserve">двигателем внутреннего сгорания за счет приведения автомобилей к требованиям государства. </w:t>
      </w:r>
    </w:p>
    <w:p w:rsidR="00EE1289" w:rsidRPr="00EE1A4B" w:rsidRDefault="007A449E" w:rsidP="007A449E">
      <w:pPr>
        <w:pStyle w:val="a3"/>
        <w:ind w:left="0" w:firstLine="709"/>
        <w:jc w:val="both"/>
        <w:rPr>
          <w:rFonts w:eastAsia="Calibri"/>
        </w:rPr>
      </w:pPr>
      <w:r w:rsidRPr="00EE1A4B">
        <w:t xml:space="preserve">Согласно матрице Томпсона – </w:t>
      </w:r>
      <w:proofErr w:type="spellStart"/>
      <w:r w:rsidRPr="00EE1A4B">
        <w:t>Стрикленда</w:t>
      </w:r>
      <w:proofErr w:type="spellEnd"/>
      <w:r w:rsidRPr="00EE1A4B">
        <w:t xml:space="preserve"> </w:t>
      </w:r>
      <w:proofErr w:type="spellStart"/>
      <w:r w:rsidRPr="00EE1A4B">
        <w:rPr>
          <w:rFonts w:eastAsia="Calibri"/>
        </w:rPr>
        <w:t>Tesl</w:t>
      </w:r>
      <w:proofErr w:type="spellEnd"/>
      <w:r w:rsidRPr="00EE1A4B">
        <w:rPr>
          <w:rFonts w:eastAsia="Calibri"/>
          <w:lang w:val="en-US"/>
        </w:rPr>
        <w:t>a</w:t>
      </w:r>
      <w:r w:rsidRPr="00EE1A4B">
        <w:rPr>
          <w:rFonts w:eastAsia="Calibri"/>
        </w:rPr>
        <w:t xml:space="preserve"> в сегменте электромобилей и гибридов следует избрать стратегию концентрации - </w:t>
      </w:r>
      <w:r w:rsidRPr="00EE1A4B">
        <w:t>рост объемов выпуска основной продукции или услуг за счет концентрации на основе - развития рынка (</w:t>
      </w:r>
      <w:r w:rsidRPr="00EE1A4B">
        <w:rPr>
          <w:bCs/>
          <w:iCs/>
        </w:rPr>
        <w:t>увеличение доли рынка,</w:t>
      </w:r>
      <w:r w:rsidRPr="00EE1A4B">
        <w:t> повышение рыночного рейтинга компании).</w:t>
      </w:r>
      <w:r w:rsidR="00F01265" w:rsidRPr="00EE1A4B">
        <w:rPr>
          <w:rStyle w:val="aa"/>
        </w:rPr>
        <w:footnoteReference w:id="9"/>
      </w:r>
      <w:r w:rsidRPr="00EE1A4B">
        <w:t xml:space="preserve"> </w:t>
      </w:r>
    </w:p>
    <w:p w:rsidR="00EE1289" w:rsidRPr="00EE1A4B" w:rsidRDefault="00EE1289" w:rsidP="007160A2">
      <w:pPr>
        <w:pStyle w:val="a3"/>
        <w:ind w:left="0" w:firstLine="709"/>
        <w:jc w:val="both"/>
        <w:rPr>
          <w:rFonts w:eastAsia="Calibri"/>
        </w:rPr>
      </w:pPr>
    </w:p>
    <w:p w:rsidR="00F13AD0" w:rsidRPr="00EE1A4B" w:rsidRDefault="00F13AD0" w:rsidP="002D5309">
      <w:pPr>
        <w:pStyle w:val="a3"/>
        <w:numPr>
          <w:ilvl w:val="0"/>
          <w:numId w:val="1"/>
        </w:numPr>
        <w:ind w:left="0" w:firstLine="709"/>
        <w:jc w:val="both"/>
        <w:rPr>
          <w:rFonts w:eastAsia="Calibri"/>
        </w:rPr>
      </w:pPr>
      <w:r w:rsidRPr="00EE1A4B">
        <w:rPr>
          <w:rFonts w:eastAsia="Calibri"/>
        </w:rPr>
        <w:t xml:space="preserve"> Рассчитайте емкость рынка товара N по следующим данным:</w:t>
      </w:r>
    </w:p>
    <w:p w:rsidR="00F13AD0" w:rsidRPr="00EE1A4B" w:rsidRDefault="00F13AD0" w:rsidP="002D5309">
      <w:pPr>
        <w:pStyle w:val="a3"/>
        <w:numPr>
          <w:ilvl w:val="0"/>
          <w:numId w:val="7"/>
        </w:numPr>
        <w:ind w:left="0" w:firstLine="709"/>
        <w:jc w:val="both"/>
      </w:pPr>
      <w:r w:rsidRPr="00EE1A4B">
        <w:rPr>
          <w:shd w:val="clear" w:color="auto" w:fill="FDFEFF"/>
        </w:rPr>
        <w:t xml:space="preserve">численность потребителей в сегменте – 930 тыс. чел.; </w:t>
      </w:r>
    </w:p>
    <w:p w:rsidR="00F13AD0" w:rsidRPr="00EE1A4B" w:rsidRDefault="00F13AD0" w:rsidP="002D5309">
      <w:pPr>
        <w:pStyle w:val="a3"/>
        <w:numPr>
          <w:ilvl w:val="0"/>
          <w:numId w:val="7"/>
        </w:numPr>
        <w:ind w:left="0" w:firstLine="709"/>
        <w:jc w:val="both"/>
      </w:pPr>
      <w:r w:rsidRPr="00EE1A4B">
        <w:rPr>
          <w:shd w:val="clear" w:color="auto" w:fill="FDFEFF"/>
        </w:rPr>
        <w:t xml:space="preserve">уровень потребления на душу населения в базисном году составил 60 ед. в год; </w:t>
      </w:r>
    </w:p>
    <w:p w:rsidR="00F13AD0" w:rsidRPr="00EE1A4B" w:rsidRDefault="00F13AD0" w:rsidP="002D5309">
      <w:pPr>
        <w:pStyle w:val="a3"/>
        <w:numPr>
          <w:ilvl w:val="0"/>
          <w:numId w:val="7"/>
        </w:numPr>
        <w:ind w:left="0" w:firstLine="709"/>
        <w:jc w:val="both"/>
      </w:pPr>
      <w:r w:rsidRPr="00EE1A4B">
        <w:rPr>
          <w:shd w:val="clear" w:color="auto" w:fill="FDFEFF"/>
        </w:rPr>
        <w:t xml:space="preserve">рынок не эластичен. </w:t>
      </w:r>
    </w:p>
    <w:p w:rsidR="00F13AD0" w:rsidRPr="00EE1A4B" w:rsidRDefault="00F13AD0" w:rsidP="002D5309">
      <w:pPr>
        <w:pStyle w:val="a3"/>
        <w:numPr>
          <w:ilvl w:val="0"/>
          <w:numId w:val="7"/>
        </w:numPr>
        <w:ind w:left="0" w:firstLine="709"/>
        <w:jc w:val="both"/>
      </w:pPr>
      <w:r w:rsidRPr="00EE1A4B">
        <w:t>Известно, что нетоварное потребление товара достигает 50%.</w:t>
      </w:r>
    </w:p>
    <w:p w:rsidR="007A449E" w:rsidRPr="00EE1A4B" w:rsidRDefault="007A449E" w:rsidP="002D5309">
      <w:pPr>
        <w:ind w:firstLine="709"/>
        <w:jc w:val="both"/>
      </w:pPr>
    </w:p>
    <w:p w:rsidR="007A449E" w:rsidRPr="00EE1A4B" w:rsidRDefault="007A449E" w:rsidP="002D5309">
      <w:pPr>
        <w:ind w:firstLine="709"/>
        <w:jc w:val="both"/>
      </w:pPr>
      <w:r w:rsidRPr="00EE1A4B">
        <w:t>Ер=П*(</w:t>
      </w:r>
      <w:proofErr w:type="spellStart"/>
      <w:r w:rsidRPr="00EE1A4B">
        <w:t>Уп+Кэл</w:t>
      </w:r>
      <w:proofErr w:type="spellEnd"/>
      <w:r w:rsidRPr="00EE1A4B">
        <w:t>*Ц%),</w:t>
      </w:r>
    </w:p>
    <w:p w:rsidR="007A449E" w:rsidRPr="00EE1A4B" w:rsidRDefault="007A449E" w:rsidP="002D5309">
      <w:pPr>
        <w:ind w:firstLine="709"/>
        <w:jc w:val="both"/>
      </w:pPr>
      <w:r w:rsidRPr="00EE1A4B">
        <w:t>П – численность потребителей в сегменте;</w:t>
      </w:r>
    </w:p>
    <w:p w:rsidR="007A449E" w:rsidRPr="00EE1A4B" w:rsidRDefault="007A449E" w:rsidP="002D5309">
      <w:pPr>
        <w:ind w:firstLine="709"/>
        <w:jc w:val="both"/>
      </w:pPr>
      <w:proofErr w:type="spellStart"/>
      <w:r w:rsidRPr="00EE1A4B">
        <w:t>Уп</w:t>
      </w:r>
      <w:proofErr w:type="spellEnd"/>
      <w:r w:rsidRPr="00EE1A4B">
        <w:t xml:space="preserve"> – уровень потребления на душу населения в базисном году, ед. на душу населения;</w:t>
      </w:r>
    </w:p>
    <w:p w:rsidR="007A449E" w:rsidRPr="00EE1A4B" w:rsidRDefault="007A449E" w:rsidP="002D5309">
      <w:pPr>
        <w:ind w:firstLine="709"/>
        <w:jc w:val="both"/>
      </w:pPr>
      <w:proofErr w:type="spellStart"/>
      <w:r w:rsidRPr="00EE1A4B">
        <w:t>Кэл</w:t>
      </w:r>
      <w:proofErr w:type="spellEnd"/>
      <w:r w:rsidRPr="00EE1A4B">
        <w:t xml:space="preserve"> – эластичность в натуральных единицах на 1% изменения цен;</w:t>
      </w:r>
    </w:p>
    <w:p w:rsidR="007A449E" w:rsidRPr="00EE1A4B" w:rsidRDefault="007A449E" w:rsidP="002D5309">
      <w:pPr>
        <w:ind w:firstLine="709"/>
        <w:jc w:val="both"/>
      </w:pPr>
      <w:r w:rsidRPr="00EE1A4B">
        <w:t>Ц% - процентное изменение цен на товар.</w:t>
      </w:r>
    </w:p>
    <w:p w:rsidR="007A449E" w:rsidRPr="00EE1A4B" w:rsidRDefault="007A449E" w:rsidP="002D5309">
      <w:pPr>
        <w:ind w:firstLine="709"/>
        <w:jc w:val="both"/>
      </w:pPr>
      <w:r w:rsidRPr="00EE1A4B">
        <w:t>Ер=930</w:t>
      </w:r>
      <w:r w:rsidR="008278E6" w:rsidRPr="00EE1A4B">
        <w:t>*</w:t>
      </w:r>
      <w:r w:rsidRPr="00EE1A4B">
        <w:t>60</w:t>
      </w:r>
      <w:r w:rsidR="008278E6" w:rsidRPr="00EE1A4B">
        <w:t xml:space="preserve"> – 30 </w:t>
      </w:r>
      <w:r w:rsidR="008F58BD" w:rsidRPr="00EE1A4B">
        <w:t>= 55770</w:t>
      </w:r>
    </w:p>
    <w:p w:rsidR="007A449E" w:rsidRPr="00EE1A4B" w:rsidRDefault="007A449E" w:rsidP="007A449E">
      <w:pPr>
        <w:jc w:val="both"/>
      </w:pPr>
    </w:p>
    <w:p w:rsidR="00F13AD0" w:rsidRPr="00EE1A4B" w:rsidRDefault="00F13AD0" w:rsidP="00992593">
      <w:pPr>
        <w:pStyle w:val="a3"/>
        <w:numPr>
          <w:ilvl w:val="0"/>
          <w:numId w:val="1"/>
        </w:numPr>
        <w:ind w:left="0" w:firstLine="357"/>
        <w:jc w:val="both"/>
        <w:rPr>
          <w:rFonts w:eastAsia="Calibri"/>
        </w:rPr>
      </w:pPr>
      <w:r w:rsidRPr="00EE1A4B">
        <w:rPr>
          <w:rFonts w:eastAsia="Calibri"/>
        </w:rPr>
        <w:t>Компания ALS состоит из двух бизнес-единиц.</w:t>
      </w:r>
    </w:p>
    <w:tbl>
      <w:tblPr>
        <w:tblStyle w:val="a7"/>
        <w:tblpPr w:leftFromText="180" w:rightFromText="180" w:vertAnchor="text" w:horzAnchor="margin" w:tblpY="75"/>
        <w:tblW w:w="5000" w:type="pct"/>
        <w:tblLook w:val="04A0" w:firstRow="1" w:lastRow="0" w:firstColumn="1" w:lastColumn="0" w:noHBand="0" w:noVBand="1"/>
      </w:tblPr>
      <w:tblGrid>
        <w:gridCol w:w="1209"/>
        <w:gridCol w:w="1903"/>
        <w:gridCol w:w="1559"/>
        <w:gridCol w:w="2805"/>
        <w:gridCol w:w="1869"/>
      </w:tblGrid>
      <w:tr w:rsidR="00EE1A4B" w:rsidRPr="00EE1A4B" w:rsidTr="006E2375">
        <w:tc>
          <w:tcPr>
            <w:tcW w:w="647" w:type="pct"/>
          </w:tcPr>
          <w:p w:rsidR="006E2375" w:rsidRPr="00EE1A4B" w:rsidRDefault="006E2375" w:rsidP="006E2375">
            <w:pPr>
              <w:contextualSpacing/>
              <w:jc w:val="both"/>
              <w:rPr>
                <w:rFonts w:eastAsia="Calibri"/>
                <w:sz w:val="20"/>
                <w:szCs w:val="20"/>
              </w:rPr>
            </w:pPr>
            <w:r w:rsidRPr="00EE1A4B">
              <w:rPr>
                <w:rFonts w:eastAsia="Calibri"/>
                <w:sz w:val="20"/>
                <w:szCs w:val="20"/>
              </w:rPr>
              <w:t>Бизнес-единицы</w:t>
            </w:r>
          </w:p>
        </w:tc>
        <w:tc>
          <w:tcPr>
            <w:tcW w:w="1018" w:type="pct"/>
          </w:tcPr>
          <w:p w:rsidR="006E2375" w:rsidRPr="00EE1A4B" w:rsidRDefault="006E2375" w:rsidP="006E2375">
            <w:pPr>
              <w:contextualSpacing/>
              <w:jc w:val="both"/>
              <w:rPr>
                <w:rFonts w:eastAsia="Calibri"/>
                <w:sz w:val="20"/>
                <w:szCs w:val="20"/>
              </w:rPr>
            </w:pPr>
            <w:r w:rsidRPr="00EE1A4B">
              <w:rPr>
                <w:rFonts w:eastAsia="Calibri"/>
                <w:sz w:val="20"/>
                <w:szCs w:val="20"/>
              </w:rPr>
              <w:t>Объемы продаж, млн. шт.</w:t>
            </w:r>
          </w:p>
        </w:tc>
        <w:tc>
          <w:tcPr>
            <w:tcW w:w="834" w:type="pct"/>
          </w:tcPr>
          <w:p w:rsidR="006E2375" w:rsidRPr="00EE1A4B" w:rsidRDefault="006E2375" w:rsidP="006E2375">
            <w:pPr>
              <w:contextualSpacing/>
              <w:jc w:val="both"/>
              <w:rPr>
                <w:rFonts w:eastAsia="Calibri"/>
                <w:sz w:val="20"/>
                <w:szCs w:val="20"/>
              </w:rPr>
            </w:pPr>
            <w:r w:rsidRPr="00EE1A4B">
              <w:rPr>
                <w:rFonts w:eastAsia="Calibri"/>
                <w:sz w:val="20"/>
                <w:szCs w:val="20"/>
              </w:rPr>
              <w:t>Число конкурентов</w:t>
            </w:r>
          </w:p>
        </w:tc>
        <w:tc>
          <w:tcPr>
            <w:tcW w:w="1501" w:type="pct"/>
          </w:tcPr>
          <w:p w:rsidR="006E2375" w:rsidRPr="00EE1A4B" w:rsidRDefault="006E2375" w:rsidP="006E2375">
            <w:pPr>
              <w:contextualSpacing/>
              <w:jc w:val="both"/>
              <w:rPr>
                <w:rFonts w:eastAsia="Calibri"/>
                <w:sz w:val="20"/>
                <w:szCs w:val="20"/>
              </w:rPr>
            </w:pPr>
            <w:r w:rsidRPr="00EE1A4B">
              <w:rPr>
                <w:rFonts w:eastAsia="Calibri"/>
                <w:sz w:val="20"/>
                <w:szCs w:val="20"/>
              </w:rPr>
              <w:t>Объемы продаж трех главных конкурентов</w:t>
            </w:r>
          </w:p>
        </w:tc>
        <w:tc>
          <w:tcPr>
            <w:tcW w:w="1000" w:type="pct"/>
          </w:tcPr>
          <w:p w:rsidR="006E2375" w:rsidRPr="00EE1A4B" w:rsidRDefault="006E2375" w:rsidP="006E2375">
            <w:pPr>
              <w:contextualSpacing/>
              <w:jc w:val="both"/>
              <w:rPr>
                <w:rFonts w:eastAsia="Calibri"/>
                <w:sz w:val="20"/>
                <w:szCs w:val="20"/>
              </w:rPr>
            </w:pPr>
            <w:r w:rsidRPr="00EE1A4B">
              <w:rPr>
                <w:rFonts w:eastAsia="Calibri"/>
                <w:sz w:val="20"/>
                <w:szCs w:val="20"/>
              </w:rPr>
              <w:t>Темп роста рынка, %</w:t>
            </w:r>
          </w:p>
        </w:tc>
      </w:tr>
      <w:tr w:rsidR="00EE1A4B" w:rsidRPr="00EE1A4B" w:rsidTr="006E2375">
        <w:tc>
          <w:tcPr>
            <w:tcW w:w="647" w:type="pct"/>
          </w:tcPr>
          <w:p w:rsidR="006E2375" w:rsidRPr="00EE1A4B" w:rsidRDefault="006E2375" w:rsidP="006E2375">
            <w:pPr>
              <w:contextualSpacing/>
              <w:jc w:val="both"/>
              <w:rPr>
                <w:rFonts w:eastAsia="Calibri"/>
                <w:sz w:val="20"/>
                <w:szCs w:val="20"/>
              </w:rPr>
            </w:pPr>
            <w:r w:rsidRPr="00EE1A4B">
              <w:rPr>
                <w:rFonts w:eastAsia="Calibri"/>
                <w:sz w:val="20"/>
                <w:szCs w:val="20"/>
              </w:rPr>
              <w:t>А</w:t>
            </w:r>
          </w:p>
        </w:tc>
        <w:tc>
          <w:tcPr>
            <w:tcW w:w="1018" w:type="pct"/>
          </w:tcPr>
          <w:p w:rsidR="006E2375" w:rsidRPr="00EE1A4B" w:rsidRDefault="006E2375" w:rsidP="006E2375">
            <w:pPr>
              <w:contextualSpacing/>
              <w:jc w:val="both"/>
              <w:rPr>
                <w:rFonts w:eastAsia="Calibri"/>
                <w:sz w:val="20"/>
                <w:szCs w:val="20"/>
              </w:rPr>
            </w:pPr>
            <w:r w:rsidRPr="00EE1A4B">
              <w:rPr>
                <w:rFonts w:eastAsia="Calibri"/>
                <w:sz w:val="20"/>
                <w:szCs w:val="20"/>
              </w:rPr>
              <w:t>3,8</w:t>
            </w:r>
          </w:p>
        </w:tc>
        <w:tc>
          <w:tcPr>
            <w:tcW w:w="834" w:type="pct"/>
          </w:tcPr>
          <w:p w:rsidR="006E2375" w:rsidRPr="00EE1A4B" w:rsidRDefault="006E2375" w:rsidP="006E2375">
            <w:pPr>
              <w:contextualSpacing/>
              <w:jc w:val="both"/>
              <w:rPr>
                <w:rFonts w:eastAsia="Calibri"/>
                <w:sz w:val="20"/>
                <w:szCs w:val="20"/>
              </w:rPr>
            </w:pPr>
            <w:r w:rsidRPr="00EE1A4B">
              <w:rPr>
                <w:rFonts w:eastAsia="Calibri"/>
                <w:sz w:val="20"/>
                <w:szCs w:val="20"/>
              </w:rPr>
              <w:t>12</w:t>
            </w:r>
          </w:p>
        </w:tc>
        <w:tc>
          <w:tcPr>
            <w:tcW w:w="1501" w:type="pct"/>
          </w:tcPr>
          <w:p w:rsidR="006E2375" w:rsidRPr="00EE1A4B" w:rsidRDefault="006E2375" w:rsidP="006E2375">
            <w:pPr>
              <w:contextualSpacing/>
              <w:jc w:val="both"/>
              <w:rPr>
                <w:rFonts w:eastAsia="Calibri"/>
                <w:sz w:val="20"/>
                <w:szCs w:val="20"/>
              </w:rPr>
            </w:pPr>
            <w:r w:rsidRPr="00EE1A4B">
              <w:rPr>
                <w:rFonts w:eastAsia="Calibri"/>
                <w:sz w:val="20"/>
                <w:szCs w:val="20"/>
              </w:rPr>
              <w:t>3,8/3,0/2,5</w:t>
            </w:r>
          </w:p>
        </w:tc>
        <w:tc>
          <w:tcPr>
            <w:tcW w:w="1000" w:type="pct"/>
          </w:tcPr>
          <w:p w:rsidR="006E2375" w:rsidRPr="00EE1A4B" w:rsidRDefault="006E2375" w:rsidP="006E2375">
            <w:pPr>
              <w:contextualSpacing/>
              <w:jc w:val="both"/>
              <w:rPr>
                <w:rFonts w:eastAsia="Calibri"/>
                <w:sz w:val="20"/>
                <w:szCs w:val="20"/>
              </w:rPr>
            </w:pPr>
            <w:r w:rsidRPr="00EE1A4B">
              <w:rPr>
                <w:rFonts w:eastAsia="Calibri"/>
                <w:sz w:val="20"/>
                <w:szCs w:val="20"/>
              </w:rPr>
              <w:t>7</w:t>
            </w:r>
          </w:p>
        </w:tc>
      </w:tr>
      <w:tr w:rsidR="00EE1A4B" w:rsidRPr="00EE1A4B" w:rsidTr="006E2375">
        <w:tc>
          <w:tcPr>
            <w:tcW w:w="647" w:type="pct"/>
          </w:tcPr>
          <w:p w:rsidR="006E2375" w:rsidRPr="00EE1A4B" w:rsidRDefault="006E2375" w:rsidP="006E2375">
            <w:pPr>
              <w:contextualSpacing/>
              <w:jc w:val="both"/>
              <w:rPr>
                <w:rFonts w:eastAsia="Calibri"/>
                <w:sz w:val="20"/>
                <w:szCs w:val="20"/>
              </w:rPr>
            </w:pPr>
            <w:r w:rsidRPr="00EE1A4B">
              <w:rPr>
                <w:rFonts w:eastAsia="Calibri"/>
                <w:sz w:val="20"/>
                <w:szCs w:val="20"/>
                <w:lang w:val="en-US"/>
              </w:rPr>
              <w:t>B</w:t>
            </w:r>
          </w:p>
        </w:tc>
        <w:tc>
          <w:tcPr>
            <w:tcW w:w="1018" w:type="pct"/>
          </w:tcPr>
          <w:p w:rsidR="006E2375" w:rsidRPr="00EE1A4B" w:rsidRDefault="006E2375" w:rsidP="006E2375">
            <w:pPr>
              <w:contextualSpacing/>
              <w:jc w:val="both"/>
              <w:rPr>
                <w:rFonts w:eastAsia="Calibri"/>
                <w:sz w:val="20"/>
                <w:szCs w:val="20"/>
              </w:rPr>
            </w:pPr>
            <w:r w:rsidRPr="00EE1A4B">
              <w:rPr>
                <w:rFonts w:eastAsia="Calibri"/>
                <w:sz w:val="20"/>
                <w:szCs w:val="20"/>
              </w:rPr>
              <w:t>6,5</w:t>
            </w:r>
          </w:p>
        </w:tc>
        <w:tc>
          <w:tcPr>
            <w:tcW w:w="834" w:type="pct"/>
          </w:tcPr>
          <w:p w:rsidR="006E2375" w:rsidRPr="00EE1A4B" w:rsidRDefault="006E2375" w:rsidP="006E2375">
            <w:pPr>
              <w:contextualSpacing/>
              <w:jc w:val="both"/>
              <w:rPr>
                <w:rFonts w:eastAsia="Calibri"/>
                <w:sz w:val="20"/>
                <w:szCs w:val="20"/>
              </w:rPr>
            </w:pPr>
            <w:r w:rsidRPr="00EE1A4B">
              <w:rPr>
                <w:rFonts w:eastAsia="Calibri"/>
                <w:sz w:val="20"/>
                <w:szCs w:val="20"/>
              </w:rPr>
              <w:t>5</w:t>
            </w:r>
          </w:p>
        </w:tc>
        <w:tc>
          <w:tcPr>
            <w:tcW w:w="1501" w:type="pct"/>
          </w:tcPr>
          <w:p w:rsidR="006E2375" w:rsidRPr="00EE1A4B" w:rsidRDefault="006E2375" w:rsidP="006E2375">
            <w:pPr>
              <w:contextualSpacing/>
              <w:jc w:val="both"/>
              <w:rPr>
                <w:rFonts w:eastAsia="Calibri"/>
                <w:sz w:val="20"/>
                <w:szCs w:val="20"/>
              </w:rPr>
            </w:pPr>
            <w:r w:rsidRPr="00EE1A4B">
              <w:rPr>
                <w:rFonts w:eastAsia="Calibri"/>
                <w:sz w:val="20"/>
                <w:szCs w:val="20"/>
              </w:rPr>
              <w:t>6,5/1,6/1,4</w:t>
            </w:r>
          </w:p>
        </w:tc>
        <w:tc>
          <w:tcPr>
            <w:tcW w:w="1000" w:type="pct"/>
          </w:tcPr>
          <w:p w:rsidR="006E2375" w:rsidRPr="00EE1A4B" w:rsidRDefault="006E2375" w:rsidP="006E2375">
            <w:pPr>
              <w:contextualSpacing/>
              <w:jc w:val="both"/>
              <w:rPr>
                <w:rFonts w:eastAsia="Calibri"/>
                <w:sz w:val="20"/>
                <w:szCs w:val="20"/>
              </w:rPr>
            </w:pPr>
            <w:r w:rsidRPr="00EE1A4B">
              <w:rPr>
                <w:rFonts w:eastAsia="Calibri"/>
                <w:sz w:val="20"/>
                <w:szCs w:val="20"/>
              </w:rPr>
              <w:t>4</w:t>
            </w:r>
          </w:p>
        </w:tc>
      </w:tr>
    </w:tbl>
    <w:p w:rsidR="00F13AD0" w:rsidRPr="00EE1A4B" w:rsidRDefault="00F13AD0" w:rsidP="00992593">
      <w:pPr>
        <w:pStyle w:val="a3"/>
        <w:numPr>
          <w:ilvl w:val="0"/>
          <w:numId w:val="5"/>
        </w:numPr>
        <w:ind w:left="0" w:firstLine="709"/>
        <w:jc w:val="both"/>
        <w:rPr>
          <w:rFonts w:eastAsia="Calibri"/>
        </w:rPr>
      </w:pPr>
      <w:r w:rsidRPr="00EE1A4B">
        <w:rPr>
          <w:rFonts w:eastAsia="Calibri"/>
        </w:rPr>
        <w:t>С помощью матрицы BCG «рост рынка/ доля рынка» оцените текущее положение компании.</w:t>
      </w:r>
    </w:p>
    <w:p w:rsidR="00F13AD0" w:rsidRPr="00EE1A4B" w:rsidRDefault="00F13AD0" w:rsidP="00992593">
      <w:pPr>
        <w:pStyle w:val="a3"/>
        <w:numPr>
          <w:ilvl w:val="0"/>
          <w:numId w:val="5"/>
        </w:numPr>
        <w:spacing w:after="160"/>
        <w:ind w:left="0" w:firstLine="709"/>
        <w:jc w:val="both"/>
        <w:rPr>
          <w:rFonts w:eastAsia="Calibri"/>
        </w:rPr>
      </w:pPr>
      <w:r w:rsidRPr="00EE1A4B">
        <w:rPr>
          <w:rFonts w:eastAsia="Calibri"/>
        </w:rPr>
        <w:lastRenderedPageBreak/>
        <w:t>Какие стратегии развития она может применить, чтобы улучшить позицию каждой из бизнес-единиц?</w:t>
      </w:r>
    </w:p>
    <w:p w:rsidR="002D5309" w:rsidRPr="00EE1A4B" w:rsidRDefault="002D5309" w:rsidP="00FB0DBF">
      <w:pPr>
        <w:ind w:firstLine="709"/>
        <w:jc w:val="both"/>
        <w:rPr>
          <w:rFonts w:eastAsia="Calibri"/>
        </w:rPr>
      </w:pPr>
      <w:r w:rsidRPr="00EE1A4B">
        <w:rPr>
          <w:rFonts w:eastAsia="Calibri"/>
        </w:rPr>
        <w:t>Рассчитаем относительную долю рынка:</w:t>
      </w:r>
    </w:p>
    <w:p w:rsidR="002D5309" w:rsidRPr="00EE1A4B" w:rsidRDefault="002D5309" w:rsidP="00FB0DBF">
      <w:pPr>
        <w:ind w:firstLine="709"/>
        <w:jc w:val="both"/>
        <w:rPr>
          <w:rFonts w:eastAsia="Calibri"/>
        </w:rPr>
      </w:pPr>
      <w:r w:rsidRPr="00EE1A4B">
        <w:rPr>
          <w:rFonts w:eastAsia="Calibri"/>
        </w:rPr>
        <w:t>А = 3,8 / (3,8+3,8+3,0+2,5) = 0,29</w:t>
      </w:r>
      <w:r w:rsidR="00FB0DBF" w:rsidRPr="00EE1A4B">
        <w:rPr>
          <w:rFonts w:eastAsia="Calibri"/>
        </w:rPr>
        <w:t xml:space="preserve"> (29 %)</w:t>
      </w:r>
    </w:p>
    <w:p w:rsidR="002D5309" w:rsidRPr="00EE1A4B" w:rsidRDefault="002D5309" w:rsidP="00FB0DBF">
      <w:pPr>
        <w:ind w:firstLine="709"/>
        <w:jc w:val="both"/>
        <w:rPr>
          <w:rFonts w:eastAsia="Calibri"/>
        </w:rPr>
      </w:pPr>
      <w:r w:rsidRPr="00EE1A4B">
        <w:rPr>
          <w:rFonts w:eastAsia="Calibri"/>
        </w:rPr>
        <w:t>Б= 6,5 / (6,5+6,5+1,6+1,</w:t>
      </w:r>
      <w:proofErr w:type="gramStart"/>
      <w:r w:rsidRPr="00EE1A4B">
        <w:rPr>
          <w:rFonts w:eastAsia="Calibri"/>
        </w:rPr>
        <w:t>4)=</w:t>
      </w:r>
      <w:proofErr w:type="gramEnd"/>
      <w:r w:rsidR="00FB0DBF" w:rsidRPr="00EE1A4B">
        <w:rPr>
          <w:rFonts w:eastAsia="Calibri"/>
        </w:rPr>
        <w:t xml:space="preserve"> </w:t>
      </w:r>
      <w:r w:rsidRPr="00EE1A4B">
        <w:rPr>
          <w:rFonts w:eastAsia="Calibri"/>
        </w:rPr>
        <w:t>0,41</w:t>
      </w:r>
      <w:r w:rsidR="00FB0DBF" w:rsidRPr="00EE1A4B">
        <w:rPr>
          <w:rFonts w:eastAsia="Calibri"/>
        </w:rPr>
        <w:t xml:space="preserve"> (41 %)</w:t>
      </w:r>
    </w:p>
    <w:p w:rsidR="002D5309" w:rsidRPr="00EE1A4B" w:rsidRDefault="00FB0DBF" w:rsidP="00FB0DBF">
      <w:pPr>
        <w:ind w:firstLine="709"/>
        <w:jc w:val="both"/>
        <w:rPr>
          <w:rFonts w:eastAsia="Calibri"/>
        </w:rPr>
      </w:pPr>
      <w:r w:rsidRPr="00EE1A4B">
        <w:rPr>
          <w:rFonts w:eastAsia="Calibri"/>
        </w:rPr>
        <w:t>На рисунке 3 представим матрицу БКГ.</w:t>
      </w:r>
    </w:p>
    <w:p w:rsidR="00B813E5" w:rsidRPr="00EE1A4B" w:rsidRDefault="00CF15DF" w:rsidP="00B813E5">
      <w:pPr>
        <w:tabs>
          <w:tab w:val="left" w:pos="2980"/>
        </w:tabs>
        <w:jc w:val="center"/>
        <w:rPr>
          <w:noProof/>
        </w:rPr>
      </w:pPr>
      <w:r w:rsidRPr="00EE1A4B">
        <w:rPr>
          <w:noProof/>
        </w:rPr>
        <mc:AlternateContent>
          <mc:Choice Requires="wps">
            <w:drawing>
              <wp:anchor distT="0" distB="0" distL="114300" distR="114300" simplePos="0" relativeHeight="251659264" behindDoc="0" locked="0" layoutInCell="1" allowOverlap="1">
                <wp:simplePos x="0" y="0"/>
                <wp:positionH relativeFrom="column">
                  <wp:posOffset>5033586</wp:posOffset>
                </wp:positionH>
                <wp:positionV relativeFrom="paragraph">
                  <wp:posOffset>125507</wp:posOffset>
                </wp:positionV>
                <wp:extent cx="21265" cy="2721935"/>
                <wp:effectExtent l="0" t="0" r="36195" b="2159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1265" cy="2721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20683" id="Прямая соединительная линия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6.35pt,9.9pt" to="398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" strokecolor="black [3200]" strokeweight=".5pt">
                <v:stroke joinstyle="miter"/>
              </v:line>
            </w:pict>
          </mc:Fallback>
        </mc:AlternateContent>
      </w:r>
      <w:r w:rsidR="00B813E5" w:rsidRPr="00EE1A4B">
        <w:rPr>
          <w:noProof/>
        </w:rPr>
        <w:drawing>
          <wp:inline distT="0" distB="0" distL="0" distR="0" wp14:anchorId="7ABF236B" wp14:editId="11BEBD87">
            <wp:extent cx="5419725" cy="33718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13E5" w:rsidRPr="00EE1A4B" w:rsidRDefault="00B813E5" w:rsidP="006E2375">
      <w:pPr>
        <w:tabs>
          <w:tab w:val="left" w:pos="2980"/>
        </w:tabs>
        <w:jc w:val="center"/>
        <w:rPr>
          <w:noProof/>
        </w:rPr>
      </w:pPr>
      <w:r w:rsidRPr="00EE1A4B">
        <w:rPr>
          <w:noProof/>
        </w:rPr>
        <w:t>Рисунок 1 – Матрица БКГ</w:t>
      </w:r>
    </w:p>
    <w:p w:rsidR="002D5309" w:rsidRPr="00EE1A4B" w:rsidRDefault="002D5309" w:rsidP="006E2375">
      <w:pPr>
        <w:jc w:val="both"/>
        <w:rPr>
          <w:rFonts w:eastAsia="Calibri"/>
        </w:rPr>
      </w:pPr>
    </w:p>
    <w:p w:rsidR="006E2375" w:rsidRPr="00EE1A4B" w:rsidRDefault="00ED18C0" w:rsidP="006E2375">
      <w:pPr>
        <w:ind w:firstLine="709"/>
        <w:jc w:val="both"/>
        <w:rPr>
          <w:rFonts w:eastAsia="Calibri"/>
        </w:rPr>
      </w:pPr>
      <w:r w:rsidRPr="00EE1A4B">
        <w:rPr>
          <w:rFonts w:eastAsia="Calibri"/>
        </w:rPr>
        <w:t>Согласно данным рисунка обе бизнес-единицы имеют низкий темп роста рынка, т.е. меньше 10 %</w:t>
      </w:r>
      <w:r w:rsidR="006E2375" w:rsidRPr="00EE1A4B">
        <w:rPr>
          <w:rFonts w:eastAsia="Calibri"/>
        </w:rPr>
        <w:t xml:space="preserve">. Относительная доля рынка меньше 100 % или единицы. Данные бизнес-единицы относятся к категории «собаки». </w:t>
      </w:r>
      <w:r w:rsidR="006E2375" w:rsidRPr="00EE1A4B">
        <w:t>Это значит, что данные бизнес-единицы имеют</w:t>
      </w:r>
      <w:r w:rsidR="006E2375" w:rsidRPr="00EE1A4B">
        <w:rPr>
          <w:b/>
        </w:rPr>
        <w:t xml:space="preserve"> </w:t>
      </w:r>
      <w:r w:rsidR="006E2375" w:rsidRPr="00EE1A4B">
        <w:t>низкий темп роста рынка, низкую долю рынка – низкий доход и низкие затраты.</w:t>
      </w:r>
    </w:p>
    <w:p w:rsidR="006E2375" w:rsidRPr="00EE1A4B" w:rsidRDefault="006E2375" w:rsidP="006E2375">
      <w:pPr>
        <w:ind w:firstLine="709"/>
        <w:jc w:val="both"/>
        <w:rPr>
          <w:rFonts w:eastAsia="Calibri"/>
        </w:rPr>
      </w:pPr>
      <w:r w:rsidRPr="00EE1A4B">
        <w:rPr>
          <w:rFonts w:eastAsia="Calibri"/>
        </w:rPr>
        <w:t xml:space="preserve">Для данных бизнес-единиц будет подходить стратегия </w:t>
      </w:r>
      <w:r w:rsidRPr="00EE1A4B">
        <w:t>концентрации на тех его нишах, где они еще сильнее конкурентов.</w:t>
      </w:r>
    </w:p>
    <w:p w:rsidR="00F13AD0" w:rsidRPr="00EE1A4B" w:rsidRDefault="00F13AD0" w:rsidP="00F13AD0">
      <w:pPr>
        <w:pStyle w:val="a3"/>
        <w:spacing w:after="160" w:line="259" w:lineRule="auto"/>
        <w:ind w:left="360"/>
        <w:jc w:val="both"/>
        <w:rPr>
          <w:rFonts w:eastAsia="Calibri"/>
        </w:rPr>
      </w:pPr>
    </w:p>
    <w:p w:rsidR="00F13AD0" w:rsidRPr="00EE1A4B" w:rsidRDefault="00F13AD0" w:rsidP="006E2375">
      <w:pPr>
        <w:pStyle w:val="a3"/>
        <w:numPr>
          <w:ilvl w:val="0"/>
          <w:numId w:val="1"/>
        </w:numPr>
        <w:ind w:left="0" w:firstLine="709"/>
        <w:jc w:val="both"/>
        <w:rPr>
          <w:rFonts w:eastAsia="Calibri"/>
        </w:rPr>
      </w:pPr>
      <w:r w:rsidRPr="00EE1A4B">
        <w:rPr>
          <w:rFonts w:eastAsia="Calibri"/>
        </w:rPr>
        <w:t xml:space="preserve">Существует несколько стратегий позиционирования товара, в </w:t>
      </w:r>
      <w:proofErr w:type="spellStart"/>
      <w:r w:rsidRPr="00EE1A4B">
        <w:rPr>
          <w:rFonts w:eastAsia="Calibri"/>
        </w:rPr>
        <w:t>т.ч</w:t>
      </w:r>
      <w:proofErr w:type="spellEnd"/>
      <w:r w:rsidRPr="00EE1A4B">
        <w:rPr>
          <w:rFonts w:eastAsia="Calibri"/>
        </w:rPr>
        <w:t xml:space="preserve">. «поиск свободной ниши»; «вытеснения конкурентов» и «укрепления текущей позиции товара. </w:t>
      </w:r>
    </w:p>
    <w:p w:rsidR="00F13AD0" w:rsidRPr="00EE1A4B" w:rsidRDefault="00F13AD0" w:rsidP="006E2375">
      <w:pPr>
        <w:pStyle w:val="a3"/>
        <w:ind w:left="0" w:firstLine="709"/>
        <w:jc w:val="both"/>
        <w:rPr>
          <w:rFonts w:eastAsia="Calibri"/>
        </w:rPr>
      </w:pPr>
      <w:r w:rsidRPr="00EE1A4B">
        <w:rPr>
          <w:rFonts w:eastAsia="Calibri"/>
        </w:rPr>
        <w:t xml:space="preserve">- В чем суть каждой из перечисленных стратегий? </w:t>
      </w:r>
    </w:p>
    <w:p w:rsidR="00F13AD0" w:rsidRPr="00EE1A4B" w:rsidRDefault="00F13AD0" w:rsidP="006E2375">
      <w:pPr>
        <w:pStyle w:val="a3"/>
        <w:ind w:left="0" w:firstLine="709"/>
        <w:jc w:val="both"/>
        <w:rPr>
          <w:rFonts w:eastAsia="Calibri"/>
        </w:rPr>
      </w:pPr>
      <w:r w:rsidRPr="00EE1A4B">
        <w:rPr>
          <w:rFonts w:eastAsia="Calibri"/>
        </w:rPr>
        <w:t>- К какой из перечисленных стратегий относится следующий пример: реклама корма для животных «</w:t>
      </w:r>
      <w:proofErr w:type="spellStart"/>
      <w:r w:rsidRPr="00EE1A4B">
        <w:rPr>
          <w:rFonts w:eastAsia="Calibri"/>
        </w:rPr>
        <w:t>Мяснофф</w:t>
      </w:r>
      <w:proofErr w:type="spellEnd"/>
      <w:r w:rsidRPr="00EE1A4B">
        <w:rPr>
          <w:rFonts w:eastAsia="Calibri"/>
        </w:rPr>
        <w:t xml:space="preserve"> – мясо для виляющих хвостов».</w:t>
      </w:r>
    </w:p>
    <w:p w:rsidR="00B74E3A" w:rsidRPr="00EE1A4B" w:rsidRDefault="00B74E3A" w:rsidP="006E2375">
      <w:pPr>
        <w:pStyle w:val="a3"/>
        <w:ind w:left="0" w:firstLine="709"/>
        <w:jc w:val="both"/>
        <w:rPr>
          <w:rFonts w:eastAsia="Calibri"/>
        </w:rPr>
      </w:pPr>
    </w:p>
    <w:p w:rsidR="00B74E3A" w:rsidRPr="00EE1A4B" w:rsidRDefault="00B74E3A" w:rsidP="006E2375">
      <w:pPr>
        <w:pStyle w:val="a3"/>
        <w:ind w:left="0" w:firstLine="709"/>
        <w:jc w:val="both"/>
        <w:rPr>
          <w:rFonts w:eastAsia="Calibri"/>
        </w:rPr>
      </w:pPr>
      <w:r w:rsidRPr="00EE1A4B">
        <w:rPr>
          <w:rFonts w:eastAsia="Calibri"/>
        </w:rPr>
        <w:t>Стратегия поиска свободной ниши – освоение рынка присутствия или нового рынка в тех видах деятельности, которые не заняты конкурентами.</w:t>
      </w:r>
    </w:p>
    <w:p w:rsidR="00B74E3A" w:rsidRPr="00EE1A4B" w:rsidRDefault="00B74E3A" w:rsidP="006E2375">
      <w:pPr>
        <w:pStyle w:val="a3"/>
        <w:ind w:left="0" w:firstLine="709"/>
        <w:jc w:val="both"/>
        <w:rPr>
          <w:rFonts w:eastAsia="Calibri"/>
        </w:rPr>
      </w:pPr>
      <w:r w:rsidRPr="00EE1A4B">
        <w:rPr>
          <w:rFonts w:eastAsia="Calibri"/>
        </w:rPr>
        <w:t xml:space="preserve">Стратегия вытеснения конкурентов является, как правило, ценовой стратегией и сводится к понижению цены за счет масштаба деятельности, т.е. компания осуществляет демпинг цен с целью вытеснения конкурентов с рынка. </w:t>
      </w:r>
      <w:r w:rsidRPr="00EE1A4B">
        <w:t>По мере устранения конкурентов цена товара постепенно повышается одновременно с улучшением качества товара или увеличения дополнительных опций к нему.</w:t>
      </w:r>
      <w:r w:rsidR="00D73180" w:rsidRPr="00EE1A4B">
        <w:t xml:space="preserve"> Данная стратегия в качестве атрибутов </w:t>
      </w:r>
      <w:r w:rsidR="00992DA4" w:rsidRPr="00EE1A4B">
        <w:t xml:space="preserve">может использовать вытеснение конкурентов за счет качества, целевых свойств, </w:t>
      </w:r>
      <w:r w:rsidR="00DF1C98" w:rsidRPr="00EE1A4B">
        <w:t>пользы и пр.</w:t>
      </w:r>
    </w:p>
    <w:p w:rsidR="00B74E3A" w:rsidRPr="00EE1A4B" w:rsidRDefault="00B74E3A" w:rsidP="006E2375">
      <w:pPr>
        <w:pStyle w:val="a3"/>
        <w:ind w:left="0" w:firstLine="709"/>
        <w:jc w:val="both"/>
      </w:pPr>
      <w:r w:rsidRPr="00EE1A4B">
        <w:rPr>
          <w:rFonts w:eastAsia="Calibri"/>
        </w:rPr>
        <w:lastRenderedPageBreak/>
        <w:t>Укрепление текущей позиции товара о</w:t>
      </w:r>
      <w:r w:rsidRPr="00EE1A4B">
        <w:t>существляется тогда, когда позиция наиболее близка к желаниям целевого </w:t>
      </w:r>
      <w:hyperlink r:id="rId12" w:history="1">
        <w:r w:rsidRPr="00EE1A4B">
          <w:rPr>
            <w:rStyle w:val="a6"/>
            <w:color w:val="auto"/>
            <w:u w:val="none"/>
          </w:rPr>
          <w:t>рынка</w:t>
        </w:r>
      </w:hyperlink>
      <w:r w:rsidRPr="00EE1A4B">
        <w:t> и отлична от конкурентных предложений. Стратегия заключается в сохранении суще</w:t>
      </w:r>
      <w:r w:rsidR="00D73180" w:rsidRPr="00EE1A4B">
        <w:t>ствующей конфигурации продукта</w:t>
      </w:r>
      <w:r w:rsidRPr="00EE1A4B">
        <w:t>.</w:t>
      </w:r>
      <w:r w:rsidR="00A129A0" w:rsidRPr="00EE1A4B">
        <w:rPr>
          <w:rStyle w:val="aa"/>
        </w:rPr>
        <w:footnoteReference w:id="10"/>
      </w:r>
      <w:r w:rsidRPr="00EE1A4B">
        <w:t xml:space="preserve"> </w:t>
      </w:r>
    </w:p>
    <w:p w:rsidR="00DF1C98" w:rsidRPr="00EE1A4B" w:rsidRDefault="00DF1C98" w:rsidP="006E2375">
      <w:pPr>
        <w:pStyle w:val="a3"/>
        <w:ind w:left="0" w:firstLine="709"/>
        <w:jc w:val="both"/>
      </w:pPr>
      <w:r w:rsidRPr="00EE1A4B">
        <w:rPr>
          <w:rFonts w:eastAsia="Calibri"/>
        </w:rPr>
        <w:t>Реклама «</w:t>
      </w:r>
      <w:proofErr w:type="spellStart"/>
      <w:r w:rsidRPr="00EE1A4B">
        <w:rPr>
          <w:rFonts w:eastAsia="Calibri"/>
        </w:rPr>
        <w:t>Мяснофф</w:t>
      </w:r>
      <w:proofErr w:type="spellEnd"/>
      <w:r w:rsidRPr="00EE1A4B">
        <w:rPr>
          <w:rFonts w:eastAsia="Calibri"/>
        </w:rPr>
        <w:t xml:space="preserve"> – мясо для виляющих хвостов» больше подходит для стратегии «укрепления текущей позиции товара». В рекламе звучит, что корм для животных изготовлен из мяса, что отвечает потребностям животного. Позиция –мясо для животного.</w:t>
      </w:r>
    </w:p>
    <w:p w:rsidR="00DF1C98" w:rsidRPr="00EE1A4B" w:rsidRDefault="00DF1C98" w:rsidP="006E2375">
      <w:pPr>
        <w:pStyle w:val="a3"/>
        <w:ind w:left="0" w:firstLine="709"/>
        <w:jc w:val="both"/>
        <w:rPr>
          <w:rFonts w:eastAsia="Calibri"/>
        </w:rPr>
      </w:pPr>
    </w:p>
    <w:p w:rsidR="00F13AD0" w:rsidRPr="00EE1A4B" w:rsidRDefault="00F13AD0" w:rsidP="006E2375">
      <w:pPr>
        <w:pStyle w:val="a3"/>
        <w:numPr>
          <w:ilvl w:val="0"/>
          <w:numId w:val="1"/>
        </w:numPr>
        <w:ind w:left="0" w:firstLine="709"/>
        <w:jc w:val="both"/>
      </w:pPr>
      <w:r w:rsidRPr="00EE1A4B">
        <w:t xml:space="preserve">Сформулируйте перечень сильных, слабых сторон, возможностей и угроз для проведения </w:t>
      </w:r>
      <w:r w:rsidRPr="00EE1A4B">
        <w:rPr>
          <w:lang w:val="en-US"/>
        </w:rPr>
        <w:t>SWOT</w:t>
      </w:r>
      <w:r w:rsidRPr="00EE1A4B">
        <w:t xml:space="preserve"> анализа СЗИУ </w:t>
      </w:r>
      <w:proofErr w:type="spellStart"/>
      <w:r w:rsidRPr="00EE1A4B">
        <w:t>РАНХиГС</w:t>
      </w:r>
      <w:proofErr w:type="spellEnd"/>
      <w:r w:rsidRPr="00EE1A4B">
        <w:t xml:space="preserve"> как игрока российского рынка высшего образования.</w:t>
      </w:r>
    </w:p>
    <w:p w:rsidR="00A129A0" w:rsidRPr="00EE1A4B" w:rsidRDefault="00A129A0" w:rsidP="00A129A0">
      <w:pPr>
        <w:pStyle w:val="a3"/>
        <w:ind w:left="709"/>
        <w:jc w:val="both"/>
      </w:pPr>
    </w:p>
    <w:tbl>
      <w:tblPr>
        <w:tblStyle w:val="a7"/>
        <w:tblW w:w="0" w:type="auto"/>
        <w:tblLook w:val="04A0" w:firstRow="1" w:lastRow="0" w:firstColumn="1" w:lastColumn="0" w:noHBand="0" w:noVBand="1"/>
      </w:tblPr>
      <w:tblGrid>
        <w:gridCol w:w="4634"/>
        <w:gridCol w:w="4711"/>
      </w:tblGrid>
      <w:tr w:rsidR="00EE1A4B" w:rsidRPr="00EE1A4B" w:rsidTr="008A0BD2">
        <w:tc>
          <w:tcPr>
            <w:tcW w:w="4634" w:type="dxa"/>
          </w:tcPr>
          <w:p w:rsidR="00F13AD0" w:rsidRPr="00EE1A4B" w:rsidRDefault="00F13AD0" w:rsidP="00C278CC">
            <w:pPr>
              <w:contextualSpacing/>
              <w:jc w:val="center"/>
              <w:rPr>
                <w:b/>
              </w:rPr>
            </w:pPr>
            <w:r w:rsidRPr="00EE1A4B">
              <w:rPr>
                <w:b/>
              </w:rPr>
              <w:t xml:space="preserve">Сильные стороны </w:t>
            </w:r>
          </w:p>
        </w:tc>
        <w:tc>
          <w:tcPr>
            <w:tcW w:w="4711" w:type="dxa"/>
          </w:tcPr>
          <w:p w:rsidR="00F13AD0" w:rsidRPr="00EE1A4B" w:rsidRDefault="00F13AD0" w:rsidP="00C278CC">
            <w:pPr>
              <w:contextualSpacing/>
              <w:jc w:val="center"/>
              <w:rPr>
                <w:b/>
              </w:rPr>
            </w:pPr>
            <w:r w:rsidRPr="00EE1A4B">
              <w:rPr>
                <w:b/>
              </w:rPr>
              <w:t xml:space="preserve">Слабые стороны </w:t>
            </w:r>
          </w:p>
        </w:tc>
      </w:tr>
      <w:tr w:rsidR="00EE1A4B" w:rsidRPr="00EE1A4B" w:rsidTr="008A0BD2">
        <w:tc>
          <w:tcPr>
            <w:tcW w:w="4634" w:type="dxa"/>
          </w:tcPr>
          <w:p w:rsidR="00F13AD0" w:rsidRPr="00EE1A4B" w:rsidRDefault="00F13AD0" w:rsidP="005339EF">
            <w:pPr>
              <w:contextualSpacing/>
            </w:pPr>
            <w:r w:rsidRPr="00EE1A4B">
              <w:t xml:space="preserve"> -</w:t>
            </w:r>
            <w:r w:rsidR="00386BC9" w:rsidRPr="00EE1A4B">
              <w:t xml:space="preserve"> Географическая диверсификация.</w:t>
            </w:r>
          </w:p>
          <w:p w:rsidR="00386BC9" w:rsidRPr="00EE1A4B" w:rsidRDefault="00386BC9" w:rsidP="005339EF">
            <w:pPr>
              <w:contextualSpacing/>
            </w:pPr>
            <w:r w:rsidRPr="00EE1A4B">
              <w:t>- Качество образования, ценящееся в России.</w:t>
            </w:r>
          </w:p>
          <w:p w:rsidR="00C278CC" w:rsidRPr="00EE1A4B" w:rsidRDefault="00C278CC" w:rsidP="005339EF">
            <w:pPr>
              <w:contextualSpacing/>
            </w:pPr>
            <w:r w:rsidRPr="00EE1A4B">
              <w:t>- Квалифицированные кадры</w:t>
            </w:r>
          </w:p>
          <w:p w:rsidR="00C278CC" w:rsidRPr="00EE1A4B" w:rsidRDefault="00C278CC" w:rsidP="005339EF">
            <w:pPr>
              <w:contextualSpacing/>
            </w:pPr>
            <w:r w:rsidRPr="00EE1A4B">
              <w:t>- Наличие в Филиале достаточно современного учебного оборудования по отдельным направлениям подготовки</w:t>
            </w:r>
          </w:p>
        </w:tc>
        <w:tc>
          <w:tcPr>
            <w:tcW w:w="4711" w:type="dxa"/>
          </w:tcPr>
          <w:p w:rsidR="00F13AD0" w:rsidRPr="00EE1A4B" w:rsidRDefault="00F13AD0" w:rsidP="005339EF">
            <w:pPr>
              <w:contextualSpacing/>
            </w:pPr>
            <w:r w:rsidRPr="00EE1A4B">
              <w:t xml:space="preserve">- </w:t>
            </w:r>
            <w:r w:rsidR="00C278CC" w:rsidRPr="00EE1A4B">
              <w:t>Отсутствие эффективной системы контроля за образовательным процессом.</w:t>
            </w:r>
          </w:p>
          <w:p w:rsidR="00C278CC" w:rsidRPr="00EE1A4B" w:rsidRDefault="00C278CC" w:rsidP="005339EF">
            <w:pPr>
              <w:contextualSpacing/>
            </w:pPr>
            <w:r w:rsidRPr="00EE1A4B">
              <w:t>- Отсутствие системы оценки персонала</w:t>
            </w:r>
          </w:p>
          <w:p w:rsidR="00F13AD0" w:rsidRPr="00EE1A4B" w:rsidRDefault="00C278CC" w:rsidP="005339EF">
            <w:pPr>
              <w:contextualSpacing/>
            </w:pPr>
            <w:r w:rsidRPr="00EE1A4B">
              <w:t xml:space="preserve">- Не применяется оценка конкурентоспособности программ для образовательной деятельности </w:t>
            </w:r>
          </w:p>
        </w:tc>
      </w:tr>
      <w:tr w:rsidR="00EE1A4B" w:rsidRPr="00EE1A4B" w:rsidTr="008A0BD2">
        <w:tc>
          <w:tcPr>
            <w:tcW w:w="4634" w:type="dxa"/>
          </w:tcPr>
          <w:p w:rsidR="00F13AD0" w:rsidRPr="00EE1A4B" w:rsidRDefault="00F13AD0" w:rsidP="00C278CC">
            <w:pPr>
              <w:contextualSpacing/>
              <w:jc w:val="center"/>
              <w:rPr>
                <w:b/>
              </w:rPr>
            </w:pPr>
            <w:r w:rsidRPr="00EE1A4B">
              <w:rPr>
                <w:b/>
              </w:rPr>
              <w:t xml:space="preserve">Возможности развития </w:t>
            </w:r>
          </w:p>
        </w:tc>
        <w:tc>
          <w:tcPr>
            <w:tcW w:w="4711" w:type="dxa"/>
          </w:tcPr>
          <w:p w:rsidR="00F13AD0" w:rsidRPr="00EE1A4B" w:rsidRDefault="00F13AD0" w:rsidP="00C278CC">
            <w:pPr>
              <w:contextualSpacing/>
              <w:jc w:val="center"/>
              <w:rPr>
                <w:b/>
              </w:rPr>
            </w:pPr>
            <w:r w:rsidRPr="00EE1A4B">
              <w:rPr>
                <w:b/>
              </w:rPr>
              <w:t xml:space="preserve">Угрозы развития </w:t>
            </w:r>
          </w:p>
        </w:tc>
      </w:tr>
      <w:tr w:rsidR="00386BC9" w:rsidRPr="00EE1A4B" w:rsidTr="008A0BD2">
        <w:tc>
          <w:tcPr>
            <w:tcW w:w="4634" w:type="dxa"/>
          </w:tcPr>
          <w:p w:rsidR="00F13AD0" w:rsidRPr="00EE1A4B" w:rsidRDefault="00F13AD0" w:rsidP="005339EF">
            <w:pPr>
              <w:contextualSpacing/>
            </w:pPr>
            <w:r w:rsidRPr="00EE1A4B">
              <w:t xml:space="preserve">-  </w:t>
            </w:r>
            <w:r w:rsidR="008A0BD2" w:rsidRPr="00EE1A4B">
              <w:t>Нацеленность на инновации и проектное обучение.</w:t>
            </w:r>
          </w:p>
          <w:p w:rsidR="008A0BD2" w:rsidRPr="00EE1A4B" w:rsidRDefault="008A0BD2" w:rsidP="005339EF">
            <w:pPr>
              <w:contextualSpacing/>
            </w:pPr>
            <w:r w:rsidRPr="00EE1A4B">
              <w:t>- Повышение имиджа филиала в образовательной среде.</w:t>
            </w:r>
          </w:p>
          <w:p w:rsidR="008A0BD2" w:rsidRPr="00EE1A4B" w:rsidRDefault="008A0BD2" w:rsidP="005339EF">
            <w:pPr>
              <w:contextualSpacing/>
            </w:pPr>
            <w:r w:rsidRPr="00EE1A4B">
              <w:t>- Спрос на образование.</w:t>
            </w:r>
          </w:p>
          <w:p w:rsidR="008A0BD2" w:rsidRPr="00EE1A4B" w:rsidRDefault="008A0BD2" w:rsidP="005339EF">
            <w:pPr>
              <w:contextualSpacing/>
            </w:pPr>
            <w:r w:rsidRPr="00EE1A4B">
              <w:t>- Повышение качества образовательных программ.</w:t>
            </w:r>
          </w:p>
        </w:tc>
        <w:tc>
          <w:tcPr>
            <w:tcW w:w="4711" w:type="dxa"/>
          </w:tcPr>
          <w:p w:rsidR="00F13AD0" w:rsidRPr="00EE1A4B" w:rsidRDefault="00F13AD0" w:rsidP="005339EF">
            <w:pPr>
              <w:contextualSpacing/>
            </w:pPr>
            <w:r w:rsidRPr="00EE1A4B">
              <w:t xml:space="preserve">-   </w:t>
            </w:r>
            <w:r w:rsidR="008A0BD2" w:rsidRPr="00EE1A4B">
              <w:t>Снижение спроса на получение высшего образования</w:t>
            </w:r>
          </w:p>
          <w:p w:rsidR="00F13AD0" w:rsidRPr="00EE1A4B" w:rsidRDefault="008A0BD2" w:rsidP="008A0BD2">
            <w:pPr>
              <w:contextualSpacing/>
            </w:pPr>
            <w:r w:rsidRPr="00EE1A4B">
              <w:t>- Снижение платёжеспособности аудитории.</w:t>
            </w:r>
          </w:p>
          <w:p w:rsidR="008A0BD2" w:rsidRPr="00EE1A4B" w:rsidRDefault="008A0BD2" w:rsidP="008A0BD2">
            <w:pPr>
              <w:contextualSpacing/>
            </w:pPr>
            <w:r w:rsidRPr="00EE1A4B">
              <w:t>- Усиление конкурентоспособности на рынке образовательных услуг</w:t>
            </w:r>
          </w:p>
          <w:p w:rsidR="008A0BD2" w:rsidRPr="00EE1A4B" w:rsidRDefault="008A0BD2" w:rsidP="008A0BD2">
            <w:pPr>
              <w:contextualSpacing/>
            </w:pPr>
            <w:r w:rsidRPr="00EE1A4B">
              <w:t>- Отсутствие финансирования на материально-техническую базу</w:t>
            </w:r>
          </w:p>
        </w:tc>
      </w:tr>
    </w:tbl>
    <w:p w:rsidR="00F13AD0" w:rsidRPr="00EE1A4B" w:rsidRDefault="00F13AD0" w:rsidP="00F13AD0">
      <w:pPr>
        <w:spacing w:after="160" w:line="259" w:lineRule="auto"/>
        <w:ind w:left="360"/>
        <w:contextualSpacing/>
        <w:jc w:val="both"/>
        <w:rPr>
          <w:rFonts w:eastAsia="Calibri"/>
        </w:rPr>
      </w:pPr>
    </w:p>
    <w:p w:rsidR="00F13AD0" w:rsidRPr="00EE1A4B" w:rsidRDefault="00F13AD0" w:rsidP="00F13AD0">
      <w:pPr>
        <w:spacing w:line="259" w:lineRule="auto"/>
        <w:contextualSpacing/>
        <w:jc w:val="both"/>
        <w:rPr>
          <w:rFonts w:eastAsia="Calibri"/>
        </w:rPr>
      </w:pPr>
    </w:p>
    <w:p w:rsidR="00ED02DE" w:rsidRPr="00EE1A4B" w:rsidRDefault="00ED02DE" w:rsidP="00F13AD0">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ED02DE" w:rsidRPr="00EE1A4B" w:rsidRDefault="00ED02DE">
      <w:pPr>
        <w:rPr>
          <w:rFonts w:ascii="Segoe UI" w:hAnsi="Segoe UI" w:cs="Segoe UI"/>
          <w:shd w:val="clear" w:color="auto" w:fill="FFFFFF"/>
        </w:rPr>
      </w:pPr>
    </w:p>
    <w:p w:rsidR="0058764D" w:rsidRPr="00EE1A4B" w:rsidRDefault="0058764D">
      <w:pPr>
        <w:rPr>
          <w:rFonts w:ascii="Segoe UI" w:hAnsi="Segoe UI" w:cs="Segoe UI"/>
          <w:shd w:val="clear" w:color="auto" w:fill="FFFFFF"/>
        </w:rPr>
      </w:pPr>
    </w:p>
    <w:p w:rsidR="0058764D" w:rsidRPr="00EE1A4B" w:rsidRDefault="0058764D">
      <w:pPr>
        <w:rPr>
          <w:rFonts w:ascii="Segoe UI" w:hAnsi="Segoe UI" w:cs="Segoe UI"/>
          <w:shd w:val="clear" w:color="auto" w:fill="FFFFFF"/>
        </w:rPr>
      </w:pPr>
    </w:p>
    <w:p w:rsidR="00EE1A4B" w:rsidRPr="00EE1A4B" w:rsidRDefault="00EE1A4B">
      <w:pPr>
        <w:rPr>
          <w:rFonts w:ascii="Segoe UI" w:hAnsi="Segoe UI" w:cs="Segoe UI"/>
          <w:shd w:val="clear" w:color="auto" w:fill="FFFFFF"/>
        </w:rPr>
      </w:pPr>
    </w:p>
    <w:p w:rsidR="00EE1A4B" w:rsidRPr="00EE1A4B" w:rsidRDefault="00EE1A4B">
      <w:pPr>
        <w:rPr>
          <w:rFonts w:ascii="Segoe UI" w:hAnsi="Segoe UI" w:cs="Segoe UI"/>
          <w:shd w:val="clear" w:color="auto" w:fill="FFFFFF"/>
        </w:rPr>
      </w:pPr>
    </w:p>
    <w:p w:rsidR="00EE1A4B" w:rsidRPr="00EE1A4B" w:rsidRDefault="00EE1A4B" w:rsidP="00EE1A4B">
      <w:pPr>
        <w:jc w:val="center"/>
        <w:rPr>
          <w:shd w:val="clear" w:color="auto" w:fill="FFFFFF"/>
        </w:rPr>
      </w:pPr>
      <w:r w:rsidRPr="00EE1A4B">
        <w:rPr>
          <w:shd w:val="clear" w:color="auto" w:fill="FFFFFF"/>
        </w:rPr>
        <w:lastRenderedPageBreak/>
        <w:t>Список литературы</w:t>
      </w:r>
    </w:p>
    <w:p w:rsidR="0058764D" w:rsidRPr="00EE1A4B" w:rsidRDefault="0058764D" w:rsidP="00EE1A4B">
      <w:pPr>
        <w:ind w:firstLine="709"/>
        <w:jc w:val="both"/>
        <w:rPr>
          <w:shd w:val="clear" w:color="auto" w:fill="FFFFFF"/>
        </w:rPr>
      </w:pP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 xml:space="preserve">Антипов, К. В. Основы рекламы: учебник / К. В. Антипов. - 4-е изд., стер. - Москва: Издательско-торговая корпорация «Дашков и </w:t>
      </w:r>
      <w:proofErr w:type="gramStart"/>
      <w:r w:rsidRPr="00EE1A4B">
        <w:rPr>
          <w:shd w:val="clear" w:color="auto" w:fill="FFFFFF"/>
        </w:rPr>
        <w:t>К</w:t>
      </w:r>
      <w:proofErr w:type="gramEnd"/>
      <w:r w:rsidRPr="00EE1A4B">
        <w:rPr>
          <w:shd w:val="clear" w:color="auto" w:fill="FFFFFF"/>
        </w:rPr>
        <w:t>°», 2020. - 326 с.</w:t>
      </w:r>
    </w:p>
    <w:p w:rsidR="00EE1A4B" w:rsidRPr="00EE1A4B" w:rsidRDefault="00EE1A4B" w:rsidP="00EE1A4B">
      <w:pPr>
        <w:pStyle w:val="a3"/>
        <w:numPr>
          <w:ilvl w:val="0"/>
          <w:numId w:val="2"/>
        </w:numPr>
        <w:ind w:left="0" w:firstLine="709"/>
        <w:jc w:val="both"/>
        <w:rPr>
          <w:shd w:val="clear" w:color="auto" w:fill="FFFFFF"/>
        </w:rPr>
      </w:pPr>
      <w:proofErr w:type="spellStart"/>
      <w:r w:rsidRPr="00EE1A4B">
        <w:t>Котляревская</w:t>
      </w:r>
      <w:proofErr w:type="spellEnd"/>
      <w:r w:rsidRPr="00EE1A4B">
        <w:t xml:space="preserve">, И.В. Стратегический маркетинг: учебное пособие. В 2 </w:t>
      </w:r>
      <w:proofErr w:type="spellStart"/>
      <w:r w:rsidRPr="00EE1A4B">
        <w:t>ч.Ч</w:t>
      </w:r>
      <w:proofErr w:type="spellEnd"/>
      <w:r w:rsidRPr="00EE1A4B">
        <w:t xml:space="preserve">. 1 / И.В. </w:t>
      </w:r>
      <w:proofErr w:type="spellStart"/>
      <w:r w:rsidRPr="00EE1A4B">
        <w:t>Котля</w:t>
      </w:r>
      <w:proofErr w:type="spellEnd"/>
      <w:r w:rsidRPr="00EE1A4B">
        <w:noBreakHyphen/>
        <w:t xml:space="preserve"> </w:t>
      </w:r>
      <w:proofErr w:type="spellStart"/>
      <w:r w:rsidRPr="00EE1A4B">
        <w:t>ревская</w:t>
      </w:r>
      <w:proofErr w:type="spellEnd"/>
      <w:r w:rsidRPr="00EE1A4B">
        <w:t xml:space="preserve">; Мин-во науки и высшего образования </w:t>
      </w:r>
      <w:proofErr w:type="gramStart"/>
      <w:r w:rsidRPr="00EE1A4B">
        <w:t>РФ.—</w:t>
      </w:r>
      <w:proofErr w:type="gramEnd"/>
      <w:r w:rsidRPr="00EE1A4B">
        <w:t xml:space="preserve"> 3</w:t>
      </w:r>
      <w:r w:rsidRPr="00EE1A4B">
        <w:noBreakHyphen/>
        <w:t xml:space="preserve">е изд., </w:t>
      </w:r>
      <w:proofErr w:type="spellStart"/>
      <w:r w:rsidRPr="00EE1A4B">
        <w:t>перераб</w:t>
      </w:r>
      <w:proofErr w:type="spellEnd"/>
      <w:r w:rsidRPr="00EE1A4B">
        <w:t>. и доп.— Екатеринбург : Изд-во Урал. ун-та, 2019.— 138 с.</w:t>
      </w: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Планирование деятельности на предприятии: учебник для бакалавров / С. Н. Кукушкин [и др.</w:t>
      </w:r>
      <w:proofErr w:type="gramStart"/>
      <w:r w:rsidRPr="00EE1A4B">
        <w:rPr>
          <w:shd w:val="clear" w:color="auto" w:fill="FFFFFF"/>
        </w:rPr>
        <w:t>] ;</w:t>
      </w:r>
      <w:proofErr w:type="gramEnd"/>
      <w:r w:rsidRPr="00EE1A4B">
        <w:rPr>
          <w:shd w:val="clear" w:color="auto" w:fill="FFFFFF"/>
        </w:rPr>
        <w:t xml:space="preserve"> ответственные редакторы С. Н. Кукушкин, В. Я. Поздняков, Е. С. Васильева. — 2-е изд., </w:t>
      </w:r>
      <w:proofErr w:type="spellStart"/>
      <w:r w:rsidRPr="00EE1A4B">
        <w:rPr>
          <w:shd w:val="clear" w:color="auto" w:fill="FFFFFF"/>
        </w:rPr>
        <w:t>перераб</w:t>
      </w:r>
      <w:proofErr w:type="spellEnd"/>
      <w:proofErr w:type="gramStart"/>
      <w:r w:rsidRPr="00EE1A4B">
        <w:rPr>
          <w:shd w:val="clear" w:color="auto" w:fill="FFFFFF"/>
        </w:rPr>
        <w:t>.</w:t>
      </w:r>
      <w:proofErr w:type="gramEnd"/>
      <w:r w:rsidRPr="00EE1A4B">
        <w:rPr>
          <w:shd w:val="clear" w:color="auto" w:fill="FFFFFF"/>
        </w:rPr>
        <w:t xml:space="preserve"> и доп. — Москва: Издательство </w:t>
      </w:r>
      <w:proofErr w:type="spellStart"/>
      <w:r w:rsidRPr="00EE1A4B">
        <w:rPr>
          <w:shd w:val="clear" w:color="auto" w:fill="FFFFFF"/>
        </w:rPr>
        <w:t>Юрайт</w:t>
      </w:r>
      <w:proofErr w:type="spellEnd"/>
      <w:r w:rsidRPr="00EE1A4B">
        <w:rPr>
          <w:shd w:val="clear" w:color="auto" w:fill="FFFFFF"/>
        </w:rPr>
        <w:t>, 2016. — 350 с. </w:t>
      </w: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 xml:space="preserve">Маркетинг: учебник и практикум для прикладного </w:t>
      </w:r>
      <w:proofErr w:type="spellStart"/>
      <w:r w:rsidRPr="00EE1A4B">
        <w:rPr>
          <w:shd w:val="clear" w:color="auto" w:fill="FFFFFF"/>
        </w:rPr>
        <w:t>бакалавриата</w:t>
      </w:r>
      <w:proofErr w:type="spellEnd"/>
      <w:r w:rsidRPr="00EE1A4B">
        <w:rPr>
          <w:shd w:val="clear" w:color="auto" w:fill="FFFFFF"/>
        </w:rPr>
        <w:t> / Н. М. Кондратенко [и др.</w:t>
      </w:r>
      <w:proofErr w:type="gramStart"/>
      <w:r w:rsidRPr="00EE1A4B">
        <w:rPr>
          <w:shd w:val="clear" w:color="auto" w:fill="FFFFFF"/>
        </w:rPr>
        <w:t>] ;</w:t>
      </w:r>
      <w:proofErr w:type="gramEnd"/>
      <w:r w:rsidRPr="00EE1A4B">
        <w:rPr>
          <w:shd w:val="clear" w:color="auto" w:fill="FFFFFF"/>
        </w:rPr>
        <w:t xml:space="preserve"> под общей редакцией Н. М. Кондратенко. — 3-е изд., </w:t>
      </w:r>
      <w:proofErr w:type="spellStart"/>
      <w:r w:rsidRPr="00EE1A4B">
        <w:rPr>
          <w:shd w:val="clear" w:color="auto" w:fill="FFFFFF"/>
        </w:rPr>
        <w:t>перераб</w:t>
      </w:r>
      <w:proofErr w:type="spellEnd"/>
      <w:proofErr w:type="gramStart"/>
      <w:r w:rsidRPr="00EE1A4B">
        <w:rPr>
          <w:shd w:val="clear" w:color="auto" w:fill="FFFFFF"/>
        </w:rPr>
        <w:t>.</w:t>
      </w:r>
      <w:proofErr w:type="gramEnd"/>
      <w:r w:rsidRPr="00EE1A4B">
        <w:rPr>
          <w:shd w:val="clear" w:color="auto" w:fill="FFFFFF"/>
        </w:rPr>
        <w:t xml:space="preserve"> и доп. — Москва: Издательство </w:t>
      </w:r>
      <w:proofErr w:type="spellStart"/>
      <w:r w:rsidRPr="00EE1A4B">
        <w:rPr>
          <w:shd w:val="clear" w:color="auto" w:fill="FFFFFF"/>
        </w:rPr>
        <w:t>Юрайт</w:t>
      </w:r>
      <w:proofErr w:type="spellEnd"/>
      <w:r w:rsidRPr="00EE1A4B">
        <w:rPr>
          <w:shd w:val="clear" w:color="auto" w:fill="FFFFFF"/>
        </w:rPr>
        <w:t>, 2017. — 408 с.</w:t>
      </w:r>
    </w:p>
    <w:p w:rsidR="00EE1A4B" w:rsidRPr="00EE1A4B" w:rsidRDefault="00EE1A4B" w:rsidP="00EE1A4B">
      <w:pPr>
        <w:pStyle w:val="a3"/>
        <w:numPr>
          <w:ilvl w:val="0"/>
          <w:numId w:val="2"/>
        </w:numPr>
        <w:ind w:left="0" w:firstLine="709"/>
        <w:jc w:val="both"/>
        <w:rPr>
          <w:shd w:val="clear" w:color="auto" w:fill="FFFFFF"/>
        </w:rPr>
      </w:pPr>
      <w:proofErr w:type="spellStart"/>
      <w:r w:rsidRPr="00EE1A4B">
        <w:rPr>
          <w:iCs/>
          <w:shd w:val="clear" w:color="auto" w:fill="FFFFFF"/>
        </w:rPr>
        <w:t>Мотышина</w:t>
      </w:r>
      <w:proofErr w:type="spellEnd"/>
      <w:r w:rsidRPr="00EE1A4B">
        <w:rPr>
          <w:iCs/>
          <w:shd w:val="clear" w:color="auto" w:fill="FFFFFF"/>
        </w:rPr>
        <w:t>, М. С. </w:t>
      </w:r>
      <w:r w:rsidRPr="00EE1A4B">
        <w:rPr>
          <w:shd w:val="clear" w:color="auto" w:fill="FFFFFF"/>
        </w:rPr>
        <w:t xml:space="preserve"> Менеджмент в социально-культурном сервисе и </w:t>
      </w:r>
      <w:proofErr w:type="gramStart"/>
      <w:r w:rsidRPr="00EE1A4B">
        <w:rPr>
          <w:shd w:val="clear" w:color="auto" w:fill="FFFFFF"/>
        </w:rPr>
        <w:t>туризме :</w:t>
      </w:r>
      <w:proofErr w:type="gramEnd"/>
      <w:r w:rsidRPr="00EE1A4B">
        <w:rPr>
          <w:shd w:val="clear" w:color="auto" w:fill="FFFFFF"/>
        </w:rPr>
        <w:t xml:space="preserve"> учебник для академического </w:t>
      </w:r>
      <w:proofErr w:type="spellStart"/>
      <w:r w:rsidRPr="00EE1A4B">
        <w:rPr>
          <w:shd w:val="clear" w:color="auto" w:fill="FFFFFF"/>
        </w:rPr>
        <w:t>бакалавриата</w:t>
      </w:r>
      <w:proofErr w:type="spellEnd"/>
      <w:r w:rsidRPr="00EE1A4B">
        <w:rPr>
          <w:shd w:val="clear" w:color="auto" w:fill="FFFFFF"/>
        </w:rPr>
        <w:t> / М. С. </w:t>
      </w:r>
      <w:proofErr w:type="spellStart"/>
      <w:r w:rsidRPr="00EE1A4B">
        <w:rPr>
          <w:shd w:val="clear" w:color="auto" w:fill="FFFFFF"/>
        </w:rPr>
        <w:t>Мотышина</w:t>
      </w:r>
      <w:proofErr w:type="spellEnd"/>
      <w:r w:rsidRPr="00EE1A4B">
        <w:rPr>
          <w:shd w:val="clear" w:color="auto" w:fill="FFFFFF"/>
        </w:rPr>
        <w:t>, А. С. Большаков, В. И. Михайлов ; под редакцией М. С. </w:t>
      </w:r>
      <w:proofErr w:type="spellStart"/>
      <w:r w:rsidRPr="00EE1A4B">
        <w:rPr>
          <w:shd w:val="clear" w:color="auto" w:fill="FFFFFF"/>
        </w:rPr>
        <w:t>Мотышиной</w:t>
      </w:r>
      <w:proofErr w:type="spellEnd"/>
      <w:r w:rsidRPr="00EE1A4B">
        <w:rPr>
          <w:shd w:val="clear" w:color="auto" w:fill="FFFFFF"/>
        </w:rPr>
        <w:t xml:space="preserve">. — 2-е изд., </w:t>
      </w:r>
      <w:proofErr w:type="spellStart"/>
      <w:r w:rsidRPr="00EE1A4B">
        <w:rPr>
          <w:shd w:val="clear" w:color="auto" w:fill="FFFFFF"/>
        </w:rPr>
        <w:t>испр</w:t>
      </w:r>
      <w:proofErr w:type="spellEnd"/>
      <w:r w:rsidRPr="00EE1A4B">
        <w:rPr>
          <w:shd w:val="clear" w:color="auto" w:fill="FFFFFF"/>
        </w:rPr>
        <w:t xml:space="preserve">. и доп. — </w:t>
      </w:r>
      <w:proofErr w:type="gramStart"/>
      <w:r w:rsidRPr="00EE1A4B">
        <w:rPr>
          <w:shd w:val="clear" w:color="auto" w:fill="FFFFFF"/>
        </w:rPr>
        <w:t>Москва :</w:t>
      </w:r>
      <w:proofErr w:type="gramEnd"/>
      <w:r w:rsidRPr="00EE1A4B">
        <w:rPr>
          <w:shd w:val="clear" w:color="auto" w:fill="FFFFFF"/>
        </w:rPr>
        <w:t xml:space="preserve"> Издательство </w:t>
      </w:r>
      <w:proofErr w:type="spellStart"/>
      <w:r w:rsidRPr="00EE1A4B">
        <w:rPr>
          <w:shd w:val="clear" w:color="auto" w:fill="FFFFFF"/>
        </w:rPr>
        <w:t>Юрайт</w:t>
      </w:r>
      <w:proofErr w:type="spellEnd"/>
      <w:r w:rsidRPr="00EE1A4B">
        <w:rPr>
          <w:shd w:val="clear" w:color="auto" w:fill="FFFFFF"/>
        </w:rPr>
        <w:t>, 2019. — 282 с.</w:t>
      </w:r>
    </w:p>
    <w:p w:rsidR="00EE1A4B" w:rsidRPr="00EE1A4B" w:rsidRDefault="00EE1A4B" w:rsidP="00EE1A4B">
      <w:pPr>
        <w:pStyle w:val="a3"/>
        <w:numPr>
          <w:ilvl w:val="0"/>
          <w:numId w:val="2"/>
        </w:numPr>
        <w:ind w:left="0" w:firstLine="709"/>
        <w:jc w:val="both"/>
        <w:rPr>
          <w:shd w:val="clear" w:color="auto" w:fill="FFFFFF"/>
        </w:rPr>
      </w:pPr>
      <w:r w:rsidRPr="00EE1A4B">
        <w:t xml:space="preserve">Попов, Ю. Л. Маркетинг [Электронный ресурс]: учебник / Ю. Л. Попов; М-во образования и науки Рос. Федерации, </w:t>
      </w:r>
      <w:proofErr w:type="spellStart"/>
      <w:r w:rsidRPr="00EE1A4B">
        <w:t>Волгогр</w:t>
      </w:r>
      <w:proofErr w:type="spellEnd"/>
      <w:r w:rsidRPr="00EE1A4B">
        <w:t>. гос. ар-</w:t>
      </w:r>
      <w:proofErr w:type="gramStart"/>
      <w:r w:rsidRPr="00EE1A4B">
        <w:t>хит.-</w:t>
      </w:r>
      <w:proofErr w:type="gramEnd"/>
      <w:r w:rsidRPr="00EE1A4B">
        <w:t xml:space="preserve">строит. ун-т. — Электронные текстовые и графические данные (3,7 Мбайт). — Волгоград: </w:t>
      </w:r>
      <w:proofErr w:type="spellStart"/>
      <w:r w:rsidRPr="00EE1A4B">
        <w:t>ВолгГАСУ</w:t>
      </w:r>
      <w:proofErr w:type="spellEnd"/>
      <w:r w:rsidRPr="00EE1A4B">
        <w:t xml:space="preserve">, 2015. — Учебное электронное издание. — Систем. требования: РС 486 DX33; </w:t>
      </w:r>
      <w:proofErr w:type="spellStart"/>
      <w:r w:rsidRPr="00EE1A4B">
        <w:t>Microsoft</w:t>
      </w:r>
      <w:proofErr w:type="spellEnd"/>
      <w:r w:rsidRPr="00EE1A4B">
        <w:t xml:space="preserve"> </w:t>
      </w:r>
      <w:proofErr w:type="spellStart"/>
      <w:r w:rsidRPr="00EE1A4B">
        <w:t>Windows</w:t>
      </w:r>
      <w:proofErr w:type="spellEnd"/>
      <w:r w:rsidRPr="00EE1A4B">
        <w:t xml:space="preserve"> XP; </w:t>
      </w:r>
      <w:proofErr w:type="spellStart"/>
      <w:r w:rsidRPr="00EE1A4B">
        <w:t>Internet</w:t>
      </w:r>
      <w:proofErr w:type="spellEnd"/>
      <w:r w:rsidRPr="00EE1A4B">
        <w:t xml:space="preserve"> </w:t>
      </w:r>
      <w:proofErr w:type="spellStart"/>
      <w:r w:rsidRPr="00EE1A4B">
        <w:t>Explorer</w:t>
      </w:r>
      <w:proofErr w:type="spellEnd"/>
      <w:r w:rsidRPr="00EE1A4B">
        <w:t xml:space="preserve"> 6.0; </w:t>
      </w:r>
      <w:proofErr w:type="spellStart"/>
      <w:r w:rsidRPr="00EE1A4B">
        <w:t>Adobe</w:t>
      </w:r>
      <w:proofErr w:type="spellEnd"/>
      <w:r w:rsidRPr="00EE1A4B">
        <w:t xml:space="preserve"> </w:t>
      </w:r>
      <w:proofErr w:type="spellStart"/>
      <w:r w:rsidRPr="00EE1A4B">
        <w:t>Reader</w:t>
      </w:r>
      <w:proofErr w:type="spellEnd"/>
      <w:r w:rsidRPr="00EE1A4B">
        <w:t xml:space="preserve"> 6.0. — Официальный сайт Волгоградского государственного архитектурно-строительного университета. </w:t>
      </w:r>
      <w:r w:rsidRPr="00EE1A4B">
        <w:rPr>
          <w:lang w:val="en-US"/>
        </w:rPr>
        <w:t>URL</w:t>
      </w:r>
      <w:r w:rsidRPr="00EE1A4B">
        <w:t>: http://www.vgasu.ru/publishing/on-line/</w:t>
      </w: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Третьякова, Т. Н. Методология научно-исследовательской работы магистра в сфере туризма и сервиса: монография / Т.Н. Третьякова. Т. 1. – Москва: РУСАЙНС, 2017. –202 с.</w:t>
      </w: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 xml:space="preserve">Норматив // Индекс потребительских цен. – </w:t>
      </w:r>
      <w:r w:rsidRPr="00EE1A4B">
        <w:rPr>
          <w:shd w:val="clear" w:color="auto" w:fill="FFFFFF"/>
          <w:lang w:val="en-US"/>
        </w:rPr>
        <w:t>URL</w:t>
      </w:r>
      <w:r w:rsidRPr="00EE1A4B">
        <w:rPr>
          <w:shd w:val="clear" w:color="auto" w:fill="FFFFFF"/>
        </w:rPr>
        <w:t>: https://normativ.kontur.ru/document?moduleId=41&amp;documentId=139128</w:t>
      </w: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 xml:space="preserve">Министерство культуры и туризма Московской области. – </w:t>
      </w:r>
      <w:r w:rsidRPr="00EE1A4B">
        <w:rPr>
          <w:shd w:val="clear" w:color="auto" w:fill="FFFFFF"/>
          <w:lang w:val="en-US"/>
        </w:rPr>
        <w:t>URL</w:t>
      </w:r>
      <w:r w:rsidRPr="00EE1A4B">
        <w:rPr>
          <w:shd w:val="clear" w:color="auto" w:fill="FFFFFF"/>
        </w:rPr>
        <w:t>: https://mk.mosreg.ru/hranenie/turizm/reestr-kollektivnykh-sredstv-razmeshcheniya-moskovskoy-oblasti</w:t>
      </w:r>
    </w:p>
    <w:p w:rsidR="00EE1A4B" w:rsidRPr="00EE1A4B" w:rsidRDefault="00EE1A4B" w:rsidP="00EE1A4B">
      <w:pPr>
        <w:pStyle w:val="a3"/>
        <w:numPr>
          <w:ilvl w:val="0"/>
          <w:numId w:val="2"/>
        </w:numPr>
        <w:ind w:left="0" w:firstLine="709"/>
        <w:jc w:val="both"/>
        <w:rPr>
          <w:shd w:val="clear" w:color="auto" w:fill="FFFFFF"/>
        </w:rPr>
      </w:pPr>
      <w:r w:rsidRPr="00EE1A4B">
        <w:rPr>
          <w:shd w:val="clear" w:color="auto" w:fill="FFFFFF"/>
        </w:rPr>
        <w:t xml:space="preserve">Официальный сайт </w:t>
      </w:r>
      <w:proofErr w:type="spellStart"/>
      <w:r w:rsidRPr="00EE1A4B">
        <w:rPr>
          <w:shd w:val="clear" w:color="auto" w:fill="FFFFFF"/>
        </w:rPr>
        <w:t>ЛПГруп</w:t>
      </w:r>
      <w:proofErr w:type="spellEnd"/>
      <w:r w:rsidRPr="00EE1A4B">
        <w:t xml:space="preserve">. </w:t>
      </w:r>
      <w:r w:rsidRPr="00EE1A4B">
        <w:rPr>
          <w:lang w:val="en-US"/>
        </w:rPr>
        <w:t>URL</w:t>
      </w:r>
      <w:r w:rsidRPr="00EE1A4B">
        <w:t xml:space="preserve">: </w:t>
      </w:r>
      <w:r w:rsidRPr="00EE1A4B">
        <w:rPr>
          <w:shd w:val="clear" w:color="auto" w:fill="FFFFFF"/>
        </w:rPr>
        <w:t>https://lpgroup.ru</w:t>
      </w:r>
    </w:p>
    <w:p w:rsidR="00EE1A4B" w:rsidRPr="00EE1A4B" w:rsidRDefault="00EE1A4B" w:rsidP="00EE1A4B">
      <w:pPr>
        <w:pStyle w:val="a3"/>
        <w:numPr>
          <w:ilvl w:val="0"/>
          <w:numId w:val="2"/>
        </w:numPr>
        <w:ind w:left="0" w:firstLine="709"/>
        <w:jc w:val="both"/>
        <w:rPr>
          <w:shd w:val="clear" w:color="auto" w:fill="FFFFFF"/>
          <w:lang w:val="en-US"/>
        </w:rPr>
      </w:pPr>
      <w:r w:rsidRPr="00EE1A4B">
        <w:rPr>
          <w:shd w:val="clear" w:color="auto" w:fill="FFFFFF"/>
        </w:rPr>
        <w:t xml:space="preserve">Правительство Московской области // </w:t>
      </w:r>
      <w:r w:rsidRPr="00EE1A4B">
        <w:t>Порядка 6 тыс. объектов культурного наследия находится в Подмосковье</w:t>
      </w:r>
      <w:r w:rsidRPr="00EE1A4B">
        <w:rPr>
          <w:shd w:val="clear" w:color="auto" w:fill="FFFFFF"/>
        </w:rPr>
        <w:t xml:space="preserve">.  </w:t>
      </w:r>
      <w:r w:rsidRPr="00EE1A4B">
        <w:rPr>
          <w:shd w:val="clear" w:color="auto" w:fill="FFFFFF"/>
          <w:lang w:val="en-US"/>
        </w:rPr>
        <w:t>URL: https://mosreg.ru/sobytiya/novosti/news-submoscow/okolo-6-tys-obektov-kulturnogo-naslediya-nahoditsya-v-podmoskove-6724#:~:text=«</w:t>
      </w:r>
      <w:r w:rsidRPr="00EE1A4B">
        <w:rPr>
          <w:shd w:val="clear" w:color="auto" w:fill="FFFFFF"/>
        </w:rPr>
        <w:t>в</w:t>
      </w:r>
      <w:r w:rsidRPr="00EE1A4B">
        <w:rPr>
          <w:shd w:val="clear" w:color="auto" w:fill="FFFFFF"/>
          <w:lang w:val="en-US"/>
        </w:rPr>
        <w:t>%20</w:t>
      </w:r>
      <w:r w:rsidRPr="00EE1A4B">
        <w:rPr>
          <w:shd w:val="clear" w:color="auto" w:fill="FFFFFF"/>
        </w:rPr>
        <w:t>Московской</w:t>
      </w:r>
      <w:r w:rsidRPr="00EE1A4B">
        <w:rPr>
          <w:shd w:val="clear" w:color="auto" w:fill="FFFFFF"/>
          <w:lang w:val="en-US"/>
        </w:rPr>
        <w:t>%20</w:t>
      </w:r>
      <w:r w:rsidRPr="00EE1A4B">
        <w:rPr>
          <w:shd w:val="clear" w:color="auto" w:fill="FFFFFF"/>
        </w:rPr>
        <w:t>области</w:t>
      </w:r>
      <w:r w:rsidRPr="00EE1A4B">
        <w:rPr>
          <w:shd w:val="clear" w:color="auto" w:fill="FFFFFF"/>
          <w:lang w:val="en-US"/>
        </w:rPr>
        <w:t>%20</w:t>
      </w:r>
      <w:r w:rsidRPr="00EE1A4B">
        <w:rPr>
          <w:shd w:val="clear" w:color="auto" w:fill="FFFFFF"/>
        </w:rPr>
        <w:t>более</w:t>
      </w:r>
      <w:r w:rsidRPr="00EE1A4B">
        <w:rPr>
          <w:shd w:val="clear" w:color="auto" w:fill="FFFFFF"/>
          <w:lang w:val="en-US"/>
        </w:rPr>
        <w:t>%205%2C9,</w:t>
      </w:r>
      <w:r w:rsidRPr="00EE1A4B">
        <w:rPr>
          <w:shd w:val="clear" w:color="auto" w:fill="FFFFFF"/>
        </w:rPr>
        <w:t>промыслов</w:t>
      </w:r>
      <w:r w:rsidRPr="00EE1A4B">
        <w:rPr>
          <w:shd w:val="clear" w:color="auto" w:fill="FFFFFF"/>
          <w:lang w:val="en-US"/>
        </w:rPr>
        <w:t>»%2C%20–%20</w:t>
      </w:r>
      <w:r w:rsidRPr="00EE1A4B">
        <w:rPr>
          <w:shd w:val="clear" w:color="auto" w:fill="FFFFFF"/>
        </w:rPr>
        <w:t>говорится</w:t>
      </w:r>
      <w:r w:rsidRPr="00EE1A4B">
        <w:rPr>
          <w:shd w:val="clear" w:color="auto" w:fill="FFFFFF"/>
          <w:lang w:val="en-US"/>
        </w:rPr>
        <w:t>%20</w:t>
      </w:r>
      <w:r w:rsidRPr="00EE1A4B">
        <w:rPr>
          <w:shd w:val="clear" w:color="auto" w:fill="FFFFFF"/>
        </w:rPr>
        <w:t>в</w:t>
      </w:r>
      <w:r w:rsidRPr="00EE1A4B">
        <w:rPr>
          <w:shd w:val="clear" w:color="auto" w:fill="FFFFFF"/>
          <w:lang w:val="en-US"/>
        </w:rPr>
        <w:t>%20</w:t>
      </w:r>
      <w:r w:rsidRPr="00EE1A4B">
        <w:rPr>
          <w:shd w:val="clear" w:color="auto" w:fill="FFFFFF"/>
        </w:rPr>
        <w:t>сообщении</w:t>
      </w:r>
    </w:p>
    <w:p w:rsidR="00EE1A4B" w:rsidRPr="00EE1A4B" w:rsidRDefault="00EE1A4B" w:rsidP="00EE1A4B">
      <w:pPr>
        <w:pStyle w:val="a3"/>
        <w:numPr>
          <w:ilvl w:val="0"/>
          <w:numId w:val="2"/>
        </w:numPr>
        <w:ind w:left="0" w:firstLine="709"/>
        <w:jc w:val="both"/>
        <w:rPr>
          <w:shd w:val="clear" w:color="auto" w:fill="FFFFFF"/>
          <w:lang w:val="en-US"/>
        </w:rPr>
      </w:pPr>
      <w:r w:rsidRPr="00EE1A4B">
        <w:rPr>
          <w:shd w:val="clear" w:color="auto" w:fill="FFFFFF"/>
        </w:rPr>
        <w:t xml:space="preserve">Телеканал Краснодар // </w:t>
      </w:r>
      <w:r w:rsidRPr="00EE1A4B">
        <w:t>Кубань является регионом-лидером по количеству памятников истории и культуры</w:t>
      </w:r>
      <w:r w:rsidRPr="00EE1A4B">
        <w:rPr>
          <w:shd w:val="clear" w:color="auto" w:fill="FFFFFF"/>
        </w:rPr>
        <w:t xml:space="preserve">. </w:t>
      </w:r>
      <w:r w:rsidRPr="00EE1A4B">
        <w:rPr>
          <w:shd w:val="clear" w:color="auto" w:fill="FFFFFF"/>
          <w:lang w:val="en-US"/>
        </w:rPr>
        <w:t>URL: https://tvkrasnodar.ru/kultura/2022/04/22/kuban-yavlyaetsya-regionom-liderom-po-kolichestvu-pamyatnikov-istorii-i-kultury-/</w:t>
      </w:r>
    </w:p>
    <w:p w:rsidR="00EE1A4B" w:rsidRPr="00EE1A4B" w:rsidRDefault="00EE1A4B" w:rsidP="00EE1A4B">
      <w:pPr>
        <w:pStyle w:val="a3"/>
        <w:numPr>
          <w:ilvl w:val="0"/>
          <w:numId w:val="2"/>
        </w:numPr>
        <w:ind w:left="0" w:firstLine="709"/>
        <w:jc w:val="both"/>
      </w:pPr>
      <w:r w:rsidRPr="00EE1A4B">
        <w:rPr>
          <w:shd w:val="clear" w:color="auto" w:fill="FFFFFF"/>
        </w:rPr>
        <w:t xml:space="preserve">Управление Федеральной службы государственной статистики по Краснодарскому краю и Республике Адыгея. </w:t>
      </w:r>
      <w:r w:rsidRPr="00EE1A4B">
        <w:rPr>
          <w:shd w:val="clear" w:color="auto" w:fill="FFFFFF"/>
          <w:lang w:val="en-US"/>
        </w:rPr>
        <w:t>URL</w:t>
      </w:r>
      <w:r w:rsidRPr="00EE1A4B">
        <w:rPr>
          <w:shd w:val="clear" w:color="auto" w:fill="FFFFFF"/>
        </w:rPr>
        <w:t>:</w:t>
      </w:r>
      <w:r w:rsidRPr="00EE1A4B">
        <w:t xml:space="preserve"> </w:t>
      </w:r>
      <w:r w:rsidRPr="00EE1A4B">
        <w:rPr>
          <w:shd w:val="clear" w:color="auto" w:fill="FFFFFF"/>
        </w:rPr>
        <w:t>https://krsdstat.gks.ru</w:t>
      </w:r>
    </w:p>
    <w:p w:rsidR="00EE1A4B" w:rsidRPr="00EE1A4B" w:rsidRDefault="00EE1A4B" w:rsidP="00EE1A4B">
      <w:pPr>
        <w:pStyle w:val="a3"/>
        <w:numPr>
          <w:ilvl w:val="0"/>
          <w:numId w:val="2"/>
        </w:numPr>
        <w:ind w:left="0" w:firstLine="709"/>
        <w:jc w:val="both"/>
      </w:pPr>
      <w:r w:rsidRPr="00EE1A4B">
        <w:rPr>
          <w:shd w:val="clear" w:color="auto" w:fill="FFFFFF"/>
        </w:rPr>
        <w:t xml:space="preserve">Управление Федеральной службы государственной статистики по Московской области. </w:t>
      </w:r>
      <w:r w:rsidRPr="00EE1A4B">
        <w:rPr>
          <w:shd w:val="clear" w:color="auto" w:fill="FFFFFF"/>
          <w:lang w:val="en-US"/>
        </w:rPr>
        <w:t>URL</w:t>
      </w:r>
      <w:r w:rsidRPr="00EE1A4B">
        <w:rPr>
          <w:shd w:val="clear" w:color="auto" w:fill="FFFFFF"/>
        </w:rPr>
        <w:t>:</w:t>
      </w:r>
      <w:r w:rsidRPr="00EE1A4B">
        <w:t xml:space="preserve"> </w:t>
      </w:r>
      <w:r w:rsidRPr="00EE1A4B">
        <w:rPr>
          <w:shd w:val="clear" w:color="auto" w:fill="FFFFFF"/>
        </w:rPr>
        <w:t>https://mosstat.gks.ru</w:t>
      </w:r>
    </w:p>
    <w:p w:rsidR="00ED02DE" w:rsidRPr="00EE1A4B" w:rsidRDefault="00ED02DE" w:rsidP="00EE1A4B">
      <w:pPr>
        <w:ind w:firstLine="709"/>
        <w:jc w:val="both"/>
        <w:rPr>
          <w:shd w:val="clear" w:color="auto" w:fill="FFFFFF"/>
        </w:rPr>
      </w:pPr>
    </w:p>
    <w:p w:rsidR="00ED02DE" w:rsidRPr="00EE1A4B" w:rsidRDefault="00ED02DE" w:rsidP="00EE1A4B">
      <w:pPr>
        <w:ind w:firstLine="709"/>
        <w:jc w:val="both"/>
        <w:rPr>
          <w:shd w:val="clear" w:color="auto" w:fill="FFFFFF"/>
        </w:rPr>
      </w:pPr>
    </w:p>
    <w:p w:rsidR="00ED02DE" w:rsidRPr="00EE1A4B" w:rsidRDefault="00ED02DE" w:rsidP="00EE1A4B">
      <w:pPr>
        <w:ind w:firstLine="709"/>
        <w:jc w:val="both"/>
        <w:rPr>
          <w:shd w:val="clear" w:color="auto" w:fill="FFFFFF"/>
        </w:rPr>
      </w:pPr>
      <w:bookmarkStart w:id="0" w:name="_GoBack"/>
      <w:bookmarkEnd w:id="0"/>
    </w:p>
    <w:p w:rsidR="00ED02DE" w:rsidRPr="00EE1A4B" w:rsidRDefault="00ED02DE" w:rsidP="00EE1A4B">
      <w:pPr>
        <w:ind w:firstLine="709"/>
        <w:jc w:val="both"/>
        <w:rPr>
          <w:shd w:val="clear" w:color="auto" w:fill="FFFFFF"/>
        </w:rPr>
      </w:pPr>
    </w:p>
    <w:p w:rsidR="00ED02DE" w:rsidRPr="00EE1A4B" w:rsidRDefault="00ED02DE" w:rsidP="00EE1A4B">
      <w:pPr>
        <w:ind w:firstLine="709"/>
        <w:jc w:val="both"/>
        <w:rPr>
          <w:shd w:val="clear" w:color="auto" w:fill="FFFFFF"/>
        </w:rPr>
      </w:pPr>
    </w:p>
    <w:p w:rsidR="00ED02DE" w:rsidRPr="00EE1A4B" w:rsidRDefault="00ED02DE" w:rsidP="00EE1A4B">
      <w:pPr>
        <w:ind w:firstLine="709"/>
        <w:jc w:val="both"/>
      </w:pPr>
    </w:p>
    <w:sectPr w:rsidR="00ED02DE" w:rsidRPr="00EE1A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4B" w:rsidRDefault="00DF244B" w:rsidP="000C4E46">
      <w:r>
        <w:separator/>
      </w:r>
    </w:p>
  </w:endnote>
  <w:endnote w:type="continuationSeparator" w:id="0">
    <w:p w:rsidR="00DF244B" w:rsidRDefault="00DF244B" w:rsidP="000C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4B" w:rsidRDefault="00DF244B" w:rsidP="000C4E46">
      <w:r>
        <w:separator/>
      </w:r>
    </w:p>
  </w:footnote>
  <w:footnote w:type="continuationSeparator" w:id="0">
    <w:p w:rsidR="00DF244B" w:rsidRDefault="00DF244B" w:rsidP="000C4E46">
      <w:r>
        <w:continuationSeparator/>
      </w:r>
    </w:p>
  </w:footnote>
  <w:footnote w:id="1">
    <w:p w:rsidR="000C4E46" w:rsidRPr="000C4E46" w:rsidRDefault="000C4E46" w:rsidP="000C4E46">
      <w:pPr>
        <w:rPr>
          <w:sz w:val="20"/>
          <w:szCs w:val="20"/>
          <w:shd w:val="clear" w:color="auto" w:fill="FFFFFF"/>
        </w:rPr>
      </w:pPr>
      <w:r w:rsidRPr="000C4E46">
        <w:rPr>
          <w:rStyle w:val="aa"/>
          <w:sz w:val="20"/>
          <w:szCs w:val="20"/>
        </w:rPr>
        <w:footnoteRef/>
      </w:r>
      <w:r w:rsidRPr="000C4E46">
        <w:rPr>
          <w:sz w:val="20"/>
          <w:szCs w:val="20"/>
        </w:rPr>
        <w:t xml:space="preserve"> </w:t>
      </w:r>
      <w:r w:rsidRPr="000C4E46">
        <w:rPr>
          <w:sz w:val="20"/>
          <w:szCs w:val="20"/>
        </w:rPr>
        <w:t xml:space="preserve">Попов, Ю. Л. Маркетинг [Электронный ресурс]: учебник / Ю. Л. Попов; М-во образования и науки Рос. Федерации, </w:t>
      </w:r>
      <w:proofErr w:type="spellStart"/>
      <w:r w:rsidRPr="000C4E46">
        <w:rPr>
          <w:sz w:val="20"/>
          <w:szCs w:val="20"/>
        </w:rPr>
        <w:t>Волгогр</w:t>
      </w:r>
      <w:proofErr w:type="spellEnd"/>
      <w:r w:rsidRPr="000C4E46">
        <w:rPr>
          <w:sz w:val="20"/>
          <w:szCs w:val="20"/>
        </w:rPr>
        <w:t>. гос. ар-</w:t>
      </w:r>
      <w:proofErr w:type="gramStart"/>
      <w:r w:rsidRPr="000C4E46">
        <w:rPr>
          <w:sz w:val="20"/>
          <w:szCs w:val="20"/>
        </w:rPr>
        <w:t>хит.-</w:t>
      </w:r>
      <w:proofErr w:type="gramEnd"/>
      <w:r w:rsidRPr="000C4E46">
        <w:rPr>
          <w:sz w:val="20"/>
          <w:szCs w:val="20"/>
        </w:rPr>
        <w:t xml:space="preserve">строит. ун-т. — Электронные текстовые и графические данные (3,7 Мбайт). — Волгоград: </w:t>
      </w:r>
      <w:proofErr w:type="spellStart"/>
      <w:r w:rsidRPr="000C4E46">
        <w:rPr>
          <w:sz w:val="20"/>
          <w:szCs w:val="20"/>
        </w:rPr>
        <w:t>ВолгГАСУ</w:t>
      </w:r>
      <w:proofErr w:type="spellEnd"/>
      <w:r w:rsidRPr="000C4E46">
        <w:rPr>
          <w:sz w:val="20"/>
          <w:szCs w:val="20"/>
        </w:rPr>
        <w:t xml:space="preserve">, 2015. — Учебное электронное издание. — Систем. требования: РС 486 DX33; </w:t>
      </w:r>
      <w:proofErr w:type="spellStart"/>
      <w:r w:rsidRPr="000C4E46">
        <w:rPr>
          <w:sz w:val="20"/>
          <w:szCs w:val="20"/>
        </w:rPr>
        <w:t>Microsoft</w:t>
      </w:r>
      <w:proofErr w:type="spellEnd"/>
      <w:r w:rsidRPr="000C4E46">
        <w:rPr>
          <w:sz w:val="20"/>
          <w:szCs w:val="20"/>
        </w:rPr>
        <w:t xml:space="preserve"> </w:t>
      </w:r>
      <w:proofErr w:type="spellStart"/>
      <w:r w:rsidRPr="000C4E46">
        <w:rPr>
          <w:sz w:val="20"/>
          <w:szCs w:val="20"/>
        </w:rPr>
        <w:t>Windows</w:t>
      </w:r>
      <w:proofErr w:type="spellEnd"/>
      <w:r w:rsidRPr="000C4E46">
        <w:rPr>
          <w:sz w:val="20"/>
          <w:szCs w:val="20"/>
        </w:rPr>
        <w:t xml:space="preserve"> XP; </w:t>
      </w:r>
      <w:proofErr w:type="spellStart"/>
      <w:r w:rsidRPr="000C4E46">
        <w:rPr>
          <w:sz w:val="20"/>
          <w:szCs w:val="20"/>
        </w:rPr>
        <w:t>Internet</w:t>
      </w:r>
      <w:proofErr w:type="spellEnd"/>
      <w:r w:rsidRPr="000C4E46">
        <w:rPr>
          <w:sz w:val="20"/>
          <w:szCs w:val="20"/>
        </w:rPr>
        <w:t xml:space="preserve"> </w:t>
      </w:r>
      <w:proofErr w:type="spellStart"/>
      <w:r w:rsidRPr="000C4E46">
        <w:rPr>
          <w:sz w:val="20"/>
          <w:szCs w:val="20"/>
        </w:rPr>
        <w:t>Explorer</w:t>
      </w:r>
      <w:proofErr w:type="spellEnd"/>
      <w:r w:rsidRPr="000C4E46">
        <w:rPr>
          <w:sz w:val="20"/>
          <w:szCs w:val="20"/>
        </w:rPr>
        <w:t xml:space="preserve"> 6.0; </w:t>
      </w:r>
      <w:proofErr w:type="spellStart"/>
      <w:r w:rsidRPr="000C4E46">
        <w:rPr>
          <w:sz w:val="20"/>
          <w:szCs w:val="20"/>
        </w:rPr>
        <w:t>Adobe</w:t>
      </w:r>
      <w:proofErr w:type="spellEnd"/>
      <w:r w:rsidRPr="000C4E46">
        <w:rPr>
          <w:sz w:val="20"/>
          <w:szCs w:val="20"/>
        </w:rPr>
        <w:t xml:space="preserve"> </w:t>
      </w:r>
      <w:proofErr w:type="spellStart"/>
      <w:r w:rsidRPr="000C4E46">
        <w:rPr>
          <w:sz w:val="20"/>
          <w:szCs w:val="20"/>
        </w:rPr>
        <w:t>Reader</w:t>
      </w:r>
      <w:proofErr w:type="spellEnd"/>
      <w:r w:rsidRPr="000C4E46">
        <w:rPr>
          <w:sz w:val="20"/>
          <w:szCs w:val="20"/>
        </w:rPr>
        <w:t xml:space="preserve"> 6.0. — Официальный сайт Волгоградского государственного архитектурно-строительного университета. </w:t>
      </w:r>
      <w:proofErr w:type="gramStart"/>
      <w:r w:rsidRPr="000C4E46">
        <w:rPr>
          <w:sz w:val="20"/>
          <w:szCs w:val="20"/>
          <w:lang w:val="en-US"/>
        </w:rPr>
        <w:t>URL</w:t>
      </w:r>
      <w:r w:rsidRPr="000C4E46">
        <w:rPr>
          <w:sz w:val="20"/>
          <w:szCs w:val="20"/>
        </w:rPr>
        <w:t>: http://www.vgasu.ru/publishing/on-line/</w:t>
      </w:r>
      <w:r w:rsidRPr="000C4E46">
        <w:rPr>
          <w:sz w:val="20"/>
          <w:szCs w:val="20"/>
        </w:rPr>
        <w:t xml:space="preserve"> С. 18.</w:t>
      </w:r>
      <w:proofErr w:type="gramEnd"/>
    </w:p>
  </w:footnote>
  <w:footnote w:id="2">
    <w:p w:rsidR="000C4E46" w:rsidRPr="000C4E46" w:rsidRDefault="000C4E46" w:rsidP="000C4E46">
      <w:pPr>
        <w:pStyle w:val="a8"/>
      </w:pPr>
      <w:r w:rsidRPr="000C4E46">
        <w:rPr>
          <w:rStyle w:val="aa"/>
        </w:rPr>
        <w:footnoteRef/>
      </w:r>
      <w:r w:rsidRPr="000C4E46">
        <w:t xml:space="preserve"> Там же с. 19</w:t>
      </w:r>
    </w:p>
  </w:footnote>
  <w:footnote w:id="3">
    <w:p w:rsidR="000C4E46" w:rsidRPr="000C4E46" w:rsidRDefault="000C4E46" w:rsidP="000C4E46">
      <w:pPr>
        <w:rPr>
          <w:sz w:val="20"/>
          <w:szCs w:val="20"/>
          <w:shd w:val="clear" w:color="auto" w:fill="FFFFFF"/>
        </w:rPr>
      </w:pPr>
      <w:r w:rsidRPr="000C4E46">
        <w:rPr>
          <w:rStyle w:val="aa"/>
          <w:sz w:val="20"/>
          <w:szCs w:val="20"/>
        </w:rPr>
        <w:footnoteRef/>
      </w:r>
      <w:r w:rsidRPr="000C4E46">
        <w:rPr>
          <w:sz w:val="20"/>
          <w:szCs w:val="20"/>
        </w:rPr>
        <w:t xml:space="preserve"> </w:t>
      </w:r>
      <w:r w:rsidRPr="000C4E46">
        <w:rPr>
          <w:sz w:val="20"/>
          <w:szCs w:val="20"/>
          <w:shd w:val="clear" w:color="auto" w:fill="FFFFFF"/>
        </w:rPr>
        <w:t>Планирование деятельности на предприятии: учебник для бакалавров / С. Н. Кукушкин [и др.</w:t>
      </w:r>
      <w:proofErr w:type="gramStart"/>
      <w:r w:rsidRPr="000C4E46">
        <w:rPr>
          <w:sz w:val="20"/>
          <w:szCs w:val="20"/>
          <w:shd w:val="clear" w:color="auto" w:fill="FFFFFF"/>
        </w:rPr>
        <w:t>] ;</w:t>
      </w:r>
      <w:proofErr w:type="gramEnd"/>
      <w:r w:rsidRPr="000C4E46">
        <w:rPr>
          <w:sz w:val="20"/>
          <w:szCs w:val="20"/>
          <w:shd w:val="clear" w:color="auto" w:fill="FFFFFF"/>
        </w:rPr>
        <w:t xml:space="preserve"> ответственные редакторы С. Н. Кукушкин, В. Я. Поздняков, Е. С. Васильева. — 2-е изд., </w:t>
      </w:r>
      <w:proofErr w:type="spellStart"/>
      <w:r w:rsidRPr="000C4E46">
        <w:rPr>
          <w:sz w:val="20"/>
          <w:szCs w:val="20"/>
          <w:shd w:val="clear" w:color="auto" w:fill="FFFFFF"/>
        </w:rPr>
        <w:t>перераб</w:t>
      </w:r>
      <w:proofErr w:type="spellEnd"/>
      <w:proofErr w:type="gramStart"/>
      <w:r w:rsidRPr="000C4E46">
        <w:rPr>
          <w:sz w:val="20"/>
          <w:szCs w:val="20"/>
          <w:shd w:val="clear" w:color="auto" w:fill="FFFFFF"/>
        </w:rPr>
        <w:t>.</w:t>
      </w:r>
      <w:proofErr w:type="gramEnd"/>
      <w:r w:rsidRPr="000C4E46">
        <w:rPr>
          <w:sz w:val="20"/>
          <w:szCs w:val="20"/>
          <w:shd w:val="clear" w:color="auto" w:fill="FFFFFF"/>
        </w:rPr>
        <w:t xml:space="preserve"> и доп. — Москва: Изд</w:t>
      </w:r>
      <w:r w:rsidRPr="000C4E46">
        <w:rPr>
          <w:sz w:val="20"/>
          <w:szCs w:val="20"/>
          <w:shd w:val="clear" w:color="auto" w:fill="FFFFFF"/>
        </w:rPr>
        <w:t xml:space="preserve">ательство </w:t>
      </w:r>
      <w:proofErr w:type="spellStart"/>
      <w:r w:rsidRPr="000C4E46">
        <w:rPr>
          <w:sz w:val="20"/>
          <w:szCs w:val="20"/>
          <w:shd w:val="clear" w:color="auto" w:fill="FFFFFF"/>
        </w:rPr>
        <w:t>Юрайт</w:t>
      </w:r>
      <w:proofErr w:type="spellEnd"/>
      <w:r w:rsidRPr="000C4E46">
        <w:rPr>
          <w:sz w:val="20"/>
          <w:szCs w:val="20"/>
          <w:shd w:val="clear" w:color="auto" w:fill="FFFFFF"/>
        </w:rPr>
        <w:t>, 2016. — 350 с.-С. 73.</w:t>
      </w:r>
    </w:p>
  </w:footnote>
  <w:footnote w:id="4">
    <w:p w:rsidR="000C4E46" w:rsidRPr="000C4E46" w:rsidRDefault="000C4E46" w:rsidP="000C4E46">
      <w:pPr>
        <w:rPr>
          <w:sz w:val="20"/>
          <w:szCs w:val="20"/>
          <w:shd w:val="clear" w:color="auto" w:fill="FFFFFF"/>
        </w:rPr>
      </w:pPr>
      <w:r w:rsidRPr="000C4E46">
        <w:rPr>
          <w:rStyle w:val="aa"/>
          <w:sz w:val="20"/>
          <w:szCs w:val="20"/>
        </w:rPr>
        <w:footnoteRef/>
      </w:r>
      <w:r w:rsidRPr="000C4E46">
        <w:rPr>
          <w:sz w:val="20"/>
          <w:szCs w:val="20"/>
        </w:rPr>
        <w:t xml:space="preserve"> </w:t>
      </w:r>
      <w:r w:rsidRPr="000C4E46">
        <w:rPr>
          <w:sz w:val="20"/>
          <w:szCs w:val="20"/>
          <w:shd w:val="clear" w:color="auto" w:fill="FFFFFF"/>
        </w:rPr>
        <w:t>Третьякова, Т. Н. Методология научно-исследовательской работы магистра в сфере туризма и сервиса: монография / Т.Н. Третьякова. Т. 1. – Москва: РУСАЙНС, 2017. –202 с.</w:t>
      </w:r>
      <w:r w:rsidRPr="000C4E46">
        <w:rPr>
          <w:sz w:val="20"/>
          <w:szCs w:val="20"/>
          <w:shd w:val="clear" w:color="auto" w:fill="FFFFFF"/>
        </w:rPr>
        <w:t>-С.182.</w:t>
      </w:r>
    </w:p>
  </w:footnote>
  <w:footnote w:id="5">
    <w:p w:rsidR="000C4E46" w:rsidRPr="000C4E46" w:rsidRDefault="000C4E46" w:rsidP="000C4E46">
      <w:pPr>
        <w:pStyle w:val="a3"/>
        <w:ind w:left="0"/>
        <w:rPr>
          <w:sz w:val="20"/>
          <w:szCs w:val="20"/>
          <w:shd w:val="clear" w:color="auto" w:fill="FFFFFF"/>
        </w:rPr>
      </w:pPr>
      <w:r w:rsidRPr="000C4E46">
        <w:rPr>
          <w:rStyle w:val="aa"/>
          <w:sz w:val="20"/>
          <w:szCs w:val="20"/>
        </w:rPr>
        <w:footnoteRef/>
      </w:r>
      <w:r w:rsidRPr="000C4E46">
        <w:rPr>
          <w:sz w:val="20"/>
          <w:szCs w:val="20"/>
        </w:rPr>
        <w:t xml:space="preserve"> </w:t>
      </w:r>
      <w:r w:rsidRPr="000C4E46">
        <w:rPr>
          <w:sz w:val="20"/>
          <w:szCs w:val="20"/>
          <w:shd w:val="clear" w:color="auto" w:fill="FFFFFF"/>
        </w:rPr>
        <w:t xml:space="preserve">Официальный сайт </w:t>
      </w:r>
      <w:proofErr w:type="spellStart"/>
      <w:r w:rsidRPr="000C4E46">
        <w:rPr>
          <w:sz w:val="20"/>
          <w:szCs w:val="20"/>
          <w:shd w:val="clear" w:color="auto" w:fill="FFFFFF"/>
        </w:rPr>
        <w:t>ЛПГруп</w:t>
      </w:r>
      <w:proofErr w:type="spellEnd"/>
      <w:r w:rsidRPr="000C4E46">
        <w:rPr>
          <w:sz w:val="20"/>
          <w:szCs w:val="20"/>
        </w:rPr>
        <w:t xml:space="preserve">. </w:t>
      </w:r>
      <w:r w:rsidRPr="000C4E46">
        <w:rPr>
          <w:sz w:val="20"/>
          <w:szCs w:val="20"/>
          <w:lang w:val="en-US"/>
        </w:rPr>
        <w:t>URL</w:t>
      </w:r>
      <w:r w:rsidRPr="000C4E46">
        <w:rPr>
          <w:sz w:val="20"/>
          <w:szCs w:val="20"/>
        </w:rPr>
        <w:t xml:space="preserve">: </w:t>
      </w:r>
      <w:r w:rsidRPr="000C4E46">
        <w:rPr>
          <w:sz w:val="20"/>
          <w:szCs w:val="20"/>
          <w:shd w:val="clear" w:color="auto" w:fill="FFFFFF"/>
        </w:rPr>
        <w:t>https://lpgroup.ru</w:t>
      </w:r>
    </w:p>
  </w:footnote>
  <w:footnote w:id="6">
    <w:p w:rsidR="000C4E46" w:rsidRPr="000C4E46" w:rsidRDefault="000C4E46" w:rsidP="000C4E46">
      <w:pPr>
        <w:rPr>
          <w:sz w:val="20"/>
          <w:szCs w:val="20"/>
        </w:rPr>
      </w:pPr>
      <w:r w:rsidRPr="000C4E46">
        <w:rPr>
          <w:rStyle w:val="aa"/>
          <w:sz w:val="20"/>
          <w:szCs w:val="20"/>
        </w:rPr>
        <w:footnoteRef/>
      </w:r>
      <w:r w:rsidRPr="000C4E46">
        <w:rPr>
          <w:sz w:val="20"/>
          <w:szCs w:val="20"/>
        </w:rPr>
        <w:t xml:space="preserve"> Составлено на основе: </w:t>
      </w:r>
      <w:r w:rsidRPr="000C4E46">
        <w:rPr>
          <w:sz w:val="20"/>
          <w:szCs w:val="20"/>
          <w:shd w:val="clear" w:color="auto" w:fill="FFFFFF"/>
        </w:rPr>
        <w:t xml:space="preserve">Министерство культуры и туризма Московской области. – </w:t>
      </w:r>
      <w:r w:rsidRPr="000C4E46">
        <w:rPr>
          <w:sz w:val="20"/>
          <w:szCs w:val="20"/>
          <w:shd w:val="clear" w:color="auto" w:fill="FFFFFF"/>
          <w:lang w:val="en-US"/>
        </w:rPr>
        <w:t>URL</w:t>
      </w:r>
      <w:r w:rsidRPr="000C4E46">
        <w:rPr>
          <w:sz w:val="20"/>
          <w:szCs w:val="20"/>
          <w:shd w:val="clear" w:color="auto" w:fill="FFFFFF"/>
        </w:rPr>
        <w:t>: https://mk.mosreg.ru/hranenie/turizm/reestr-kollektivnykh-sredstv-razmeshcheniya-moskovskoy-oblasti</w:t>
      </w:r>
      <w:r w:rsidRPr="000C4E46">
        <w:rPr>
          <w:sz w:val="20"/>
          <w:szCs w:val="20"/>
          <w:shd w:val="clear" w:color="auto" w:fill="FFFFFF"/>
        </w:rPr>
        <w:t xml:space="preserve">$ </w:t>
      </w:r>
      <w:r w:rsidRPr="000C4E46">
        <w:rPr>
          <w:sz w:val="20"/>
          <w:szCs w:val="20"/>
          <w:shd w:val="clear" w:color="auto" w:fill="FFFFFF"/>
        </w:rPr>
        <w:t xml:space="preserve">Управление Федеральной службы государственной статистики по Краснодарскому краю и Республике Адыгея. </w:t>
      </w:r>
      <w:r w:rsidRPr="000C4E46">
        <w:rPr>
          <w:sz w:val="20"/>
          <w:szCs w:val="20"/>
          <w:shd w:val="clear" w:color="auto" w:fill="FFFFFF"/>
          <w:lang w:val="en-US"/>
        </w:rPr>
        <w:t>URL</w:t>
      </w:r>
      <w:r w:rsidRPr="000C4E46">
        <w:rPr>
          <w:sz w:val="20"/>
          <w:szCs w:val="20"/>
          <w:shd w:val="clear" w:color="auto" w:fill="FFFFFF"/>
        </w:rPr>
        <w:t>:</w:t>
      </w:r>
      <w:r w:rsidRPr="000C4E46">
        <w:rPr>
          <w:sz w:val="20"/>
          <w:szCs w:val="20"/>
        </w:rPr>
        <w:t xml:space="preserve"> </w:t>
      </w:r>
      <w:r w:rsidRPr="000C4E46">
        <w:rPr>
          <w:sz w:val="20"/>
          <w:szCs w:val="20"/>
          <w:shd w:val="clear" w:color="auto" w:fill="FFFFFF"/>
        </w:rPr>
        <w:t>https://krsdstat.gks.ru</w:t>
      </w:r>
    </w:p>
    <w:p w:rsidR="000C4E46" w:rsidRPr="000C4E46" w:rsidRDefault="000C4E46">
      <w:pPr>
        <w:pStyle w:val="a8"/>
      </w:pPr>
    </w:p>
  </w:footnote>
  <w:footnote w:id="7">
    <w:p w:rsidR="00D27E88" w:rsidRPr="009E1B6B" w:rsidRDefault="00D27E88" w:rsidP="009E1B6B">
      <w:pPr>
        <w:jc w:val="both"/>
        <w:rPr>
          <w:sz w:val="20"/>
          <w:szCs w:val="20"/>
          <w:shd w:val="clear" w:color="auto" w:fill="FFFFFF"/>
        </w:rPr>
      </w:pPr>
      <w:r w:rsidRPr="009E1B6B">
        <w:rPr>
          <w:rStyle w:val="aa"/>
          <w:sz w:val="20"/>
          <w:szCs w:val="20"/>
        </w:rPr>
        <w:footnoteRef/>
      </w:r>
      <w:r w:rsidRPr="009E1B6B">
        <w:rPr>
          <w:sz w:val="20"/>
          <w:szCs w:val="20"/>
        </w:rPr>
        <w:t xml:space="preserve"> Составлено на основе: </w:t>
      </w:r>
      <w:r w:rsidRPr="009E1B6B">
        <w:rPr>
          <w:sz w:val="20"/>
          <w:szCs w:val="20"/>
          <w:shd w:val="clear" w:color="auto" w:fill="FFFFFF"/>
        </w:rPr>
        <w:t xml:space="preserve">Телеканал Краснодар // </w:t>
      </w:r>
      <w:r w:rsidRPr="009E1B6B">
        <w:rPr>
          <w:color w:val="282E33"/>
          <w:sz w:val="20"/>
          <w:szCs w:val="20"/>
        </w:rPr>
        <w:t>Кубань является регионом-лидером по количеству памятников истории и культуры</w:t>
      </w:r>
      <w:r w:rsidRPr="009E1B6B">
        <w:rPr>
          <w:sz w:val="20"/>
          <w:szCs w:val="20"/>
          <w:shd w:val="clear" w:color="auto" w:fill="FFFFFF"/>
        </w:rPr>
        <w:t xml:space="preserve">. </w:t>
      </w:r>
      <w:r w:rsidRPr="009E1B6B">
        <w:rPr>
          <w:sz w:val="20"/>
          <w:szCs w:val="20"/>
          <w:shd w:val="clear" w:color="auto" w:fill="FFFFFF"/>
          <w:lang w:val="en-US"/>
        </w:rPr>
        <w:t>URL</w:t>
      </w:r>
      <w:r w:rsidRPr="009E1B6B">
        <w:rPr>
          <w:sz w:val="20"/>
          <w:szCs w:val="20"/>
          <w:shd w:val="clear" w:color="auto" w:fill="FFFFFF"/>
        </w:rPr>
        <w:t xml:space="preserve">: </w:t>
      </w:r>
      <w:r w:rsidRPr="009E1B6B">
        <w:rPr>
          <w:sz w:val="20"/>
          <w:szCs w:val="20"/>
          <w:shd w:val="clear" w:color="auto" w:fill="FFFFFF"/>
          <w:lang w:val="en-US"/>
        </w:rPr>
        <w:t>https</w:t>
      </w:r>
      <w:r w:rsidRPr="009E1B6B">
        <w:rPr>
          <w:sz w:val="20"/>
          <w:szCs w:val="20"/>
          <w:shd w:val="clear" w:color="auto" w:fill="FFFFFF"/>
        </w:rPr>
        <w:t>://</w:t>
      </w:r>
      <w:proofErr w:type="spellStart"/>
      <w:r w:rsidRPr="009E1B6B">
        <w:rPr>
          <w:sz w:val="20"/>
          <w:szCs w:val="20"/>
          <w:shd w:val="clear" w:color="auto" w:fill="FFFFFF"/>
          <w:lang w:val="en-US"/>
        </w:rPr>
        <w:t>tvkrasnodar</w:t>
      </w:r>
      <w:proofErr w:type="spellEnd"/>
      <w:r w:rsidRPr="009E1B6B">
        <w:rPr>
          <w:sz w:val="20"/>
          <w:szCs w:val="20"/>
          <w:shd w:val="clear" w:color="auto" w:fill="FFFFFF"/>
        </w:rPr>
        <w:t>.</w:t>
      </w:r>
      <w:proofErr w:type="spellStart"/>
      <w:r w:rsidRPr="009E1B6B">
        <w:rPr>
          <w:sz w:val="20"/>
          <w:szCs w:val="20"/>
          <w:shd w:val="clear" w:color="auto" w:fill="FFFFFF"/>
          <w:lang w:val="en-US"/>
        </w:rPr>
        <w:t>ru</w:t>
      </w:r>
      <w:proofErr w:type="spellEnd"/>
      <w:r w:rsidRPr="009E1B6B">
        <w:rPr>
          <w:sz w:val="20"/>
          <w:szCs w:val="20"/>
          <w:shd w:val="clear" w:color="auto" w:fill="FFFFFF"/>
        </w:rPr>
        <w:t>/</w:t>
      </w:r>
      <w:proofErr w:type="spellStart"/>
      <w:r w:rsidRPr="009E1B6B">
        <w:rPr>
          <w:sz w:val="20"/>
          <w:szCs w:val="20"/>
          <w:shd w:val="clear" w:color="auto" w:fill="FFFFFF"/>
          <w:lang w:val="en-US"/>
        </w:rPr>
        <w:t>kultura</w:t>
      </w:r>
      <w:proofErr w:type="spellEnd"/>
      <w:r w:rsidRPr="009E1B6B">
        <w:rPr>
          <w:sz w:val="20"/>
          <w:szCs w:val="20"/>
          <w:shd w:val="clear" w:color="auto" w:fill="FFFFFF"/>
        </w:rPr>
        <w:t>/2022/04/22/</w:t>
      </w:r>
      <w:proofErr w:type="spellStart"/>
      <w:r w:rsidRPr="009E1B6B">
        <w:rPr>
          <w:sz w:val="20"/>
          <w:szCs w:val="20"/>
          <w:shd w:val="clear" w:color="auto" w:fill="FFFFFF"/>
          <w:lang w:val="en-US"/>
        </w:rPr>
        <w:t>kuban</w:t>
      </w:r>
      <w:proofErr w:type="spellEnd"/>
      <w:r w:rsidRPr="009E1B6B">
        <w:rPr>
          <w:sz w:val="20"/>
          <w:szCs w:val="20"/>
          <w:shd w:val="clear" w:color="auto" w:fill="FFFFFF"/>
        </w:rPr>
        <w:t>-</w:t>
      </w:r>
      <w:proofErr w:type="spellStart"/>
      <w:r w:rsidRPr="009E1B6B">
        <w:rPr>
          <w:sz w:val="20"/>
          <w:szCs w:val="20"/>
          <w:shd w:val="clear" w:color="auto" w:fill="FFFFFF"/>
          <w:lang w:val="en-US"/>
        </w:rPr>
        <w:t>yavlyaetsya</w:t>
      </w:r>
      <w:proofErr w:type="spellEnd"/>
      <w:r w:rsidRPr="009E1B6B">
        <w:rPr>
          <w:sz w:val="20"/>
          <w:szCs w:val="20"/>
          <w:shd w:val="clear" w:color="auto" w:fill="FFFFFF"/>
        </w:rPr>
        <w:t>-</w:t>
      </w:r>
      <w:proofErr w:type="spellStart"/>
      <w:r w:rsidRPr="009E1B6B">
        <w:rPr>
          <w:sz w:val="20"/>
          <w:szCs w:val="20"/>
          <w:shd w:val="clear" w:color="auto" w:fill="FFFFFF"/>
          <w:lang w:val="en-US"/>
        </w:rPr>
        <w:t>regionom</w:t>
      </w:r>
      <w:proofErr w:type="spellEnd"/>
      <w:r w:rsidRPr="009E1B6B">
        <w:rPr>
          <w:sz w:val="20"/>
          <w:szCs w:val="20"/>
          <w:shd w:val="clear" w:color="auto" w:fill="FFFFFF"/>
        </w:rPr>
        <w:t>-</w:t>
      </w:r>
      <w:proofErr w:type="spellStart"/>
      <w:r w:rsidRPr="009E1B6B">
        <w:rPr>
          <w:sz w:val="20"/>
          <w:szCs w:val="20"/>
          <w:shd w:val="clear" w:color="auto" w:fill="FFFFFF"/>
          <w:lang w:val="en-US"/>
        </w:rPr>
        <w:t>liderom</w:t>
      </w:r>
      <w:proofErr w:type="spellEnd"/>
      <w:r w:rsidRPr="009E1B6B">
        <w:rPr>
          <w:sz w:val="20"/>
          <w:szCs w:val="20"/>
          <w:shd w:val="clear" w:color="auto" w:fill="FFFFFF"/>
        </w:rPr>
        <w:t>-</w:t>
      </w:r>
      <w:proofErr w:type="spellStart"/>
      <w:r w:rsidRPr="009E1B6B">
        <w:rPr>
          <w:sz w:val="20"/>
          <w:szCs w:val="20"/>
          <w:shd w:val="clear" w:color="auto" w:fill="FFFFFF"/>
          <w:lang w:val="en-US"/>
        </w:rPr>
        <w:t>po</w:t>
      </w:r>
      <w:proofErr w:type="spellEnd"/>
      <w:r w:rsidRPr="009E1B6B">
        <w:rPr>
          <w:sz w:val="20"/>
          <w:szCs w:val="20"/>
          <w:shd w:val="clear" w:color="auto" w:fill="FFFFFF"/>
        </w:rPr>
        <w:t>-</w:t>
      </w:r>
      <w:proofErr w:type="spellStart"/>
      <w:r w:rsidRPr="009E1B6B">
        <w:rPr>
          <w:sz w:val="20"/>
          <w:szCs w:val="20"/>
          <w:shd w:val="clear" w:color="auto" w:fill="FFFFFF"/>
          <w:lang w:val="en-US"/>
        </w:rPr>
        <w:t>kolichestvu</w:t>
      </w:r>
      <w:proofErr w:type="spellEnd"/>
      <w:r w:rsidRPr="009E1B6B">
        <w:rPr>
          <w:sz w:val="20"/>
          <w:szCs w:val="20"/>
          <w:shd w:val="clear" w:color="auto" w:fill="FFFFFF"/>
        </w:rPr>
        <w:t>-</w:t>
      </w:r>
      <w:proofErr w:type="spellStart"/>
      <w:r w:rsidRPr="009E1B6B">
        <w:rPr>
          <w:sz w:val="20"/>
          <w:szCs w:val="20"/>
          <w:shd w:val="clear" w:color="auto" w:fill="FFFFFF"/>
          <w:lang w:val="en-US"/>
        </w:rPr>
        <w:t>pamyatnikov</w:t>
      </w:r>
      <w:proofErr w:type="spellEnd"/>
      <w:r w:rsidRPr="009E1B6B">
        <w:rPr>
          <w:sz w:val="20"/>
          <w:szCs w:val="20"/>
          <w:shd w:val="clear" w:color="auto" w:fill="FFFFFF"/>
        </w:rPr>
        <w:t>-</w:t>
      </w:r>
      <w:proofErr w:type="spellStart"/>
      <w:r w:rsidRPr="009E1B6B">
        <w:rPr>
          <w:sz w:val="20"/>
          <w:szCs w:val="20"/>
          <w:shd w:val="clear" w:color="auto" w:fill="FFFFFF"/>
          <w:lang w:val="en-US"/>
        </w:rPr>
        <w:t>istorii</w:t>
      </w:r>
      <w:proofErr w:type="spellEnd"/>
      <w:r w:rsidRPr="009E1B6B">
        <w:rPr>
          <w:sz w:val="20"/>
          <w:szCs w:val="20"/>
          <w:shd w:val="clear" w:color="auto" w:fill="FFFFFF"/>
        </w:rPr>
        <w:t>-</w:t>
      </w:r>
      <w:proofErr w:type="spellStart"/>
      <w:r w:rsidRPr="009E1B6B">
        <w:rPr>
          <w:sz w:val="20"/>
          <w:szCs w:val="20"/>
          <w:shd w:val="clear" w:color="auto" w:fill="FFFFFF"/>
          <w:lang w:val="en-US"/>
        </w:rPr>
        <w:t>i</w:t>
      </w:r>
      <w:proofErr w:type="spellEnd"/>
      <w:r w:rsidRPr="009E1B6B">
        <w:rPr>
          <w:sz w:val="20"/>
          <w:szCs w:val="20"/>
          <w:shd w:val="clear" w:color="auto" w:fill="FFFFFF"/>
        </w:rPr>
        <w:t>-</w:t>
      </w:r>
      <w:proofErr w:type="spellStart"/>
      <w:r w:rsidRPr="009E1B6B">
        <w:rPr>
          <w:sz w:val="20"/>
          <w:szCs w:val="20"/>
          <w:shd w:val="clear" w:color="auto" w:fill="FFFFFF"/>
          <w:lang w:val="en-US"/>
        </w:rPr>
        <w:t>kultury</w:t>
      </w:r>
      <w:proofErr w:type="spellEnd"/>
      <w:r w:rsidRPr="009E1B6B">
        <w:rPr>
          <w:sz w:val="20"/>
          <w:szCs w:val="20"/>
          <w:shd w:val="clear" w:color="auto" w:fill="FFFFFF"/>
        </w:rPr>
        <w:t>-/</w:t>
      </w:r>
      <w:proofErr w:type="gramStart"/>
      <w:r w:rsidRPr="009E1B6B">
        <w:rPr>
          <w:sz w:val="20"/>
          <w:szCs w:val="20"/>
          <w:shd w:val="clear" w:color="auto" w:fill="FFFFFF"/>
        </w:rPr>
        <w:t>;</w:t>
      </w:r>
      <w:proofErr w:type="gramEnd"/>
      <w:r w:rsidRPr="009E1B6B">
        <w:rPr>
          <w:sz w:val="20"/>
          <w:szCs w:val="20"/>
          <w:shd w:val="clear" w:color="auto" w:fill="FFFFFF"/>
        </w:rPr>
        <w:t xml:space="preserve"> </w:t>
      </w:r>
      <w:r w:rsidRPr="009E1B6B">
        <w:rPr>
          <w:sz w:val="20"/>
          <w:szCs w:val="20"/>
          <w:shd w:val="clear" w:color="auto" w:fill="FFFFFF"/>
        </w:rPr>
        <w:t xml:space="preserve">Правительство Московской области // </w:t>
      </w:r>
      <w:r w:rsidRPr="009E1B6B">
        <w:rPr>
          <w:color w:val="363532"/>
          <w:sz w:val="20"/>
          <w:szCs w:val="20"/>
        </w:rPr>
        <w:t>Порядка 6 тыс. объектов культурного наследия находится в Подмосковье</w:t>
      </w:r>
      <w:r w:rsidRPr="009E1B6B">
        <w:rPr>
          <w:sz w:val="20"/>
          <w:szCs w:val="20"/>
          <w:shd w:val="clear" w:color="auto" w:fill="FFFFFF"/>
        </w:rPr>
        <w:t xml:space="preserve">.  </w:t>
      </w:r>
      <w:r w:rsidRPr="009E1B6B">
        <w:rPr>
          <w:sz w:val="20"/>
          <w:szCs w:val="20"/>
          <w:shd w:val="clear" w:color="auto" w:fill="FFFFFF"/>
          <w:lang w:val="en-US"/>
        </w:rPr>
        <w:t>URL</w:t>
      </w:r>
      <w:r w:rsidRPr="009E1B6B">
        <w:rPr>
          <w:sz w:val="20"/>
          <w:szCs w:val="20"/>
          <w:shd w:val="clear" w:color="auto" w:fill="FFFFFF"/>
        </w:rPr>
        <w:t xml:space="preserve">: </w:t>
      </w:r>
      <w:r w:rsidRPr="009E1B6B">
        <w:rPr>
          <w:sz w:val="20"/>
          <w:szCs w:val="20"/>
          <w:shd w:val="clear" w:color="auto" w:fill="FFFFFF"/>
          <w:lang w:val="en-US"/>
        </w:rPr>
        <w:t>https</w:t>
      </w:r>
      <w:r w:rsidRPr="009E1B6B">
        <w:rPr>
          <w:sz w:val="20"/>
          <w:szCs w:val="20"/>
          <w:shd w:val="clear" w:color="auto" w:fill="FFFFFF"/>
        </w:rPr>
        <w:t>://</w:t>
      </w:r>
      <w:proofErr w:type="spellStart"/>
      <w:r w:rsidRPr="009E1B6B">
        <w:rPr>
          <w:sz w:val="20"/>
          <w:szCs w:val="20"/>
          <w:shd w:val="clear" w:color="auto" w:fill="FFFFFF"/>
          <w:lang w:val="en-US"/>
        </w:rPr>
        <w:t>mosreg</w:t>
      </w:r>
      <w:proofErr w:type="spellEnd"/>
      <w:r w:rsidRPr="009E1B6B">
        <w:rPr>
          <w:sz w:val="20"/>
          <w:szCs w:val="20"/>
          <w:shd w:val="clear" w:color="auto" w:fill="FFFFFF"/>
        </w:rPr>
        <w:t>.</w:t>
      </w:r>
      <w:proofErr w:type="spellStart"/>
      <w:r w:rsidRPr="009E1B6B">
        <w:rPr>
          <w:sz w:val="20"/>
          <w:szCs w:val="20"/>
          <w:shd w:val="clear" w:color="auto" w:fill="FFFFFF"/>
          <w:lang w:val="en-US"/>
        </w:rPr>
        <w:t>ru</w:t>
      </w:r>
      <w:proofErr w:type="spellEnd"/>
      <w:r w:rsidRPr="009E1B6B">
        <w:rPr>
          <w:sz w:val="20"/>
          <w:szCs w:val="20"/>
          <w:shd w:val="clear" w:color="auto" w:fill="FFFFFF"/>
        </w:rPr>
        <w:t>/</w:t>
      </w:r>
      <w:proofErr w:type="spellStart"/>
      <w:r w:rsidRPr="009E1B6B">
        <w:rPr>
          <w:sz w:val="20"/>
          <w:szCs w:val="20"/>
          <w:shd w:val="clear" w:color="auto" w:fill="FFFFFF"/>
          <w:lang w:val="en-US"/>
        </w:rPr>
        <w:t>sobytiya</w:t>
      </w:r>
      <w:proofErr w:type="spellEnd"/>
      <w:r w:rsidRPr="009E1B6B">
        <w:rPr>
          <w:sz w:val="20"/>
          <w:szCs w:val="20"/>
          <w:shd w:val="clear" w:color="auto" w:fill="FFFFFF"/>
        </w:rPr>
        <w:t>/</w:t>
      </w:r>
      <w:proofErr w:type="spellStart"/>
      <w:r w:rsidRPr="009E1B6B">
        <w:rPr>
          <w:sz w:val="20"/>
          <w:szCs w:val="20"/>
          <w:shd w:val="clear" w:color="auto" w:fill="FFFFFF"/>
          <w:lang w:val="en-US"/>
        </w:rPr>
        <w:t>novosti</w:t>
      </w:r>
      <w:proofErr w:type="spellEnd"/>
      <w:r w:rsidRPr="009E1B6B">
        <w:rPr>
          <w:sz w:val="20"/>
          <w:szCs w:val="20"/>
          <w:shd w:val="clear" w:color="auto" w:fill="FFFFFF"/>
        </w:rPr>
        <w:t>/</w:t>
      </w:r>
      <w:r w:rsidRPr="009E1B6B">
        <w:rPr>
          <w:sz w:val="20"/>
          <w:szCs w:val="20"/>
          <w:shd w:val="clear" w:color="auto" w:fill="FFFFFF"/>
          <w:lang w:val="en-US"/>
        </w:rPr>
        <w:t>news</w:t>
      </w:r>
      <w:r w:rsidRPr="009E1B6B">
        <w:rPr>
          <w:sz w:val="20"/>
          <w:szCs w:val="20"/>
          <w:shd w:val="clear" w:color="auto" w:fill="FFFFFF"/>
        </w:rPr>
        <w:t>-</w:t>
      </w:r>
      <w:proofErr w:type="spellStart"/>
      <w:r w:rsidRPr="009E1B6B">
        <w:rPr>
          <w:sz w:val="20"/>
          <w:szCs w:val="20"/>
          <w:shd w:val="clear" w:color="auto" w:fill="FFFFFF"/>
          <w:lang w:val="en-US"/>
        </w:rPr>
        <w:t>submoscow</w:t>
      </w:r>
      <w:proofErr w:type="spellEnd"/>
      <w:r w:rsidRPr="009E1B6B">
        <w:rPr>
          <w:sz w:val="20"/>
          <w:szCs w:val="20"/>
          <w:shd w:val="clear" w:color="auto" w:fill="FFFFFF"/>
        </w:rPr>
        <w:t>/</w:t>
      </w:r>
      <w:proofErr w:type="spellStart"/>
      <w:r w:rsidRPr="009E1B6B">
        <w:rPr>
          <w:sz w:val="20"/>
          <w:szCs w:val="20"/>
          <w:shd w:val="clear" w:color="auto" w:fill="FFFFFF"/>
          <w:lang w:val="en-US"/>
        </w:rPr>
        <w:t>okolo</w:t>
      </w:r>
      <w:proofErr w:type="spellEnd"/>
      <w:r w:rsidRPr="009E1B6B">
        <w:rPr>
          <w:sz w:val="20"/>
          <w:szCs w:val="20"/>
          <w:shd w:val="clear" w:color="auto" w:fill="FFFFFF"/>
        </w:rPr>
        <w:t>-6-</w:t>
      </w:r>
      <w:proofErr w:type="spellStart"/>
      <w:r w:rsidRPr="009E1B6B">
        <w:rPr>
          <w:sz w:val="20"/>
          <w:szCs w:val="20"/>
          <w:shd w:val="clear" w:color="auto" w:fill="FFFFFF"/>
          <w:lang w:val="en-US"/>
        </w:rPr>
        <w:t>tys</w:t>
      </w:r>
      <w:proofErr w:type="spellEnd"/>
      <w:r w:rsidRPr="009E1B6B">
        <w:rPr>
          <w:sz w:val="20"/>
          <w:szCs w:val="20"/>
          <w:shd w:val="clear" w:color="auto" w:fill="FFFFFF"/>
        </w:rPr>
        <w:t>-</w:t>
      </w:r>
      <w:proofErr w:type="spellStart"/>
      <w:r w:rsidRPr="009E1B6B">
        <w:rPr>
          <w:sz w:val="20"/>
          <w:szCs w:val="20"/>
          <w:shd w:val="clear" w:color="auto" w:fill="FFFFFF"/>
          <w:lang w:val="en-US"/>
        </w:rPr>
        <w:t>obektov</w:t>
      </w:r>
      <w:proofErr w:type="spellEnd"/>
      <w:r w:rsidRPr="009E1B6B">
        <w:rPr>
          <w:sz w:val="20"/>
          <w:szCs w:val="20"/>
          <w:shd w:val="clear" w:color="auto" w:fill="FFFFFF"/>
        </w:rPr>
        <w:t>-</w:t>
      </w:r>
      <w:proofErr w:type="spellStart"/>
      <w:r w:rsidRPr="009E1B6B">
        <w:rPr>
          <w:sz w:val="20"/>
          <w:szCs w:val="20"/>
          <w:shd w:val="clear" w:color="auto" w:fill="FFFFFF"/>
          <w:lang w:val="en-US"/>
        </w:rPr>
        <w:t>kulturnogo</w:t>
      </w:r>
      <w:proofErr w:type="spellEnd"/>
      <w:r w:rsidRPr="009E1B6B">
        <w:rPr>
          <w:sz w:val="20"/>
          <w:szCs w:val="20"/>
          <w:shd w:val="clear" w:color="auto" w:fill="FFFFFF"/>
        </w:rPr>
        <w:t>-</w:t>
      </w:r>
      <w:proofErr w:type="spellStart"/>
      <w:r w:rsidRPr="009E1B6B">
        <w:rPr>
          <w:sz w:val="20"/>
          <w:szCs w:val="20"/>
          <w:shd w:val="clear" w:color="auto" w:fill="FFFFFF"/>
          <w:lang w:val="en-US"/>
        </w:rPr>
        <w:t>naslediya</w:t>
      </w:r>
      <w:proofErr w:type="spellEnd"/>
      <w:r w:rsidRPr="009E1B6B">
        <w:rPr>
          <w:sz w:val="20"/>
          <w:szCs w:val="20"/>
          <w:shd w:val="clear" w:color="auto" w:fill="FFFFFF"/>
        </w:rPr>
        <w:t>-</w:t>
      </w:r>
      <w:proofErr w:type="spellStart"/>
      <w:r w:rsidRPr="009E1B6B">
        <w:rPr>
          <w:sz w:val="20"/>
          <w:szCs w:val="20"/>
          <w:shd w:val="clear" w:color="auto" w:fill="FFFFFF"/>
          <w:lang w:val="en-US"/>
        </w:rPr>
        <w:t>nahoditsya</w:t>
      </w:r>
      <w:proofErr w:type="spellEnd"/>
      <w:r w:rsidRPr="009E1B6B">
        <w:rPr>
          <w:sz w:val="20"/>
          <w:szCs w:val="20"/>
          <w:shd w:val="clear" w:color="auto" w:fill="FFFFFF"/>
        </w:rPr>
        <w:t>-</w:t>
      </w:r>
      <w:r w:rsidRPr="009E1B6B">
        <w:rPr>
          <w:sz w:val="20"/>
          <w:szCs w:val="20"/>
          <w:shd w:val="clear" w:color="auto" w:fill="FFFFFF"/>
          <w:lang w:val="en-US"/>
        </w:rPr>
        <w:t>v</w:t>
      </w:r>
      <w:r w:rsidRPr="009E1B6B">
        <w:rPr>
          <w:sz w:val="20"/>
          <w:szCs w:val="20"/>
          <w:shd w:val="clear" w:color="auto" w:fill="FFFFFF"/>
        </w:rPr>
        <w:t>-</w:t>
      </w:r>
      <w:proofErr w:type="spellStart"/>
      <w:r w:rsidRPr="009E1B6B">
        <w:rPr>
          <w:sz w:val="20"/>
          <w:szCs w:val="20"/>
          <w:shd w:val="clear" w:color="auto" w:fill="FFFFFF"/>
          <w:lang w:val="en-US"/>
        </w:rPr>
        <w:t>podmoskove</w:t>
      </w:r>
      <w:proofErr w:type="spellEnd"/>
      <w:r w:rsidRPr="009E1B6B">
        <w:rPr>
          <w:sz w:val="20"/>
          <w:szCs w:val="20"/>
          <w:shd w:val="clear" w:color="auto" w:fill="FFFFFF"/>
        </w:rPr>
        <w:t>-6724#:~:</w:t>
      </w:r>
      <w:r w:rsidRPr="009E1B6B">
        <w:rPr>
          <w:sz w:val="20"/>
          <w:szCs w:val="20"/>
          <w:shd w:val="clear" w:color="auto" w:fill="FFFFFF"/>
          <w:lang w:val="en-US"/>
        </w:rPr>
        <w:t>text</w:t>
      </w:r>
      <w:r w:rsidRPr="009E1B6B">
        <w:rPr>
          <w:sz w:val="20"/>
          <w:szCs w:val="20"/>
          <w:shd w:val="clear" w:color="auto" w:fill="FFFFFF"/>
        </w:rPr>
        <w:t>=«в%20Московской%20области%20более%205%2</w:t>
      </w:r>
      <w:r w:rsidRPr="009E1B6B">
        <w:rPr>
          <w:sz w:val="20"/>
          <w:szCs w:val="20"/>
          <w:shd w:val="clear" w:color="auto" w:fill="FFFFFF"/>
          <w:lang w:val="en-US"/>
        </w:rPr>
        <w:t>C</w:t>
      </w:r>
      <w:r w:rsidRPr="009E1B6B">
        <w:rPr>
          <w:sz w:val="20"/>
          <w:szCs w:val="20"/>
          <w:shd w:val="clear" w:color="auto" w:fill="FFFFFF"/>
        </w:rPr>
        <w:t>9,промыслов»%2</w:t>
      </w:r>
      <w:r w:rsidRPr="009E1B6B">
        <w:rPr>
          <w:sz w:val="20"/>
          <w:szCs w:val="20"/>
          <w:shd w:val="clear" w:color="auto" w:fill="FFFFFF"/>
          <w:lang w:val="en-US"/>
        </w:rPr>
        <w:t>C</w:t>
      </w:r>
      <w:r w:rsidRPr="009E1B6B">
        <w:rPr>
          <w:sz w:val="20"/>
          <w:szCs w:val="20"/>
          <w:shd w:val="clear" w:color="auto" w:fill="FFFFFF"/>
        </w:rPr>
        <w:t>%20–%20говорится%20в%20сообщении</w:t>
      </w:r>
      <w:r w:rsidRPr="009E1B6B">
        <w:rPr>
          <w:sz w:val="20"/>
          <w:szCs w:val="20"/>
          <w:shd w:val="clear" w:color="auto" w:fill="FFFFFF"/>
        </w:rPr>
        <w:t xml:space="preserve">; </w:t>
      </w:r>
      <w:r w:rsidRPr="009E1B6B">
        <w:rPr>
          <w:sz w:val="20"/>
          <w:szCs w:val="20"/>
          <w:shd w:val="clear" w:color="auto" w:fill="FFFFFF"/>
        </w:rPr>
        <w:t xml:space="preserve">Норматив // Индекс потребительских цен. – </w:t>
      </w:r>
      <w:r w:rsidRPr="009E1B6B">
        <w:rPr>
          <w:sz w:val="20"/>
          <w:szCs w:val="20"/>
          <w:shd w:val="clear" w:color="auto" w:fill="FFFFFF"/>
          <w:lang w:val="en-US"/>
        </w:rPr>
        <w:t>URL</w:t>
      </w:r>
      <w:r w:rsidRPr="009E1B6B">
        <w:rPr>
          <w:sz w:val="20"/>
          <w:szCs w:val="20"/>
          <w:shd w:val="clear" w:color="auto" w:fill="FFFFFF"/>
        </w:rPr>
        <w:t>: https://normativ.kontur.ru/document?moduleId=41&amp;documentId=139128</w:t>
      </w:r>
    </w:p>
  </w:footnote>
  <w:footnote w:id="8">
    <w:p w:rsidR="00F01265" w:rsidRPr="00F01265" w:rsidRDefault="00F01265" w:rsidP="00F01265">
      <w:pPr>
        <w:jc w:val="both"/>
        <w:rPr>
          <w:sz w:val="20"/>
          <w:szCs w:val="20"/>
          <w:shd w:val="clear" w:color="auto" w:fill="FFFFFF"/>
        </w:rPr>
      </w:pPr>
      <w:r w:rsidRPr="00F01265">
        <w:rPr>
          <w:rStyle w:val="aa"/>
          <w:sz w:val="20"/>
          <w:szCs w:val="20"/>
        </w:rPr>
        <w:footnoteRef/>
      </w:r>
      <w:r w:rsidRPr="00F01265">
        <w:rPr>
          <w:sz w:val="20"/>
          <w:szCs w:val="20"/>
        </w:rPr>
        <w:t xml:space="preserve"> </w:t>
      </w:r>
      <w:r w:rsidRPr="00F01265">
        <w:rPr>
          <w:color w:val="000000"/>
          <w:sz w:val="20"/>
          <w:szCs w:val="20"/>
          <w:shd w:val="clear" w:color="auto" w:fill="FFFFFF"/>
        </w:rPr>
        <w:t xml:space="preserve">Маркетинг: учебник и практикум для прикладного </w:t>
      </w:r>
      <w:proofErr w:type="spellStart"/>
      <w:r w:rsidRPr="00F01265">
        <w:rPr>
          <w:color w:val="000000"/>
          <w:sz w:val="20"/>
          <w:szCs w:val="20"/>
          <w:shd w:val="clear" w:color="auto" w:fill="FFFFFF"/>
        </w:rPr>
        <w:t>бакалавриата</w:t>
      </w:r>
      <w:proofErr w:type="spellEnd"/>
      <w:r w:rsidRPr="00F01265">
        <w:rPr>
          <w:color w:val="000000"/>
          <w:sz w:val="20"/>
          <w:szCs w:val="20"/>
          <w:shd w:val="clear" w:color="auto" w:fill="FFFFFF"/>
        </w:rPr>
        <w:t xml:space="preserve"> / Н. М. Кондратенко [и др.]; под общей редакцией Н. М. Кондратенко. — 3-е изд., </w:t>
      </w:r>
      <w:proofErr w:type="spellStart"/>
      <w:r w:rsidRPr="00F01265">
        <w:rPr>
          <w:color w:val="000000"/>
          <w:sz w:val="20"/>
          <w:szCs w:val="20"/>
          <w:shd w:val="clear" w:color="auto" w:fill="FFFFFF"/>
        </w:rPr>
        <w:t>перераб</w:t>
      </w:r>
      <w:proofErr w:type="spellEnd"/>
      <w:proofErr w:type="gramStart"/>
      <w:r w:rsidRPr="00F01265">
        <w:rPr>
          <w:color w:val="000000"/>
          <w:sz w:val="20"/>
          <w:szCs w:val="20"/>
          <w:shd w:val="clear" w:color="auto" w:fill="FFFFFF"/>
        </w:rPr>
        <w:t>.</w:t>
      </w:r>
      <w:proofErr w:type="gramEnd"/>
      <w:r w:rsidRPr="00F01265">
        <w:rPr>
          <w:color w:val="000000"/>
          <w:sz w:val="20"/>
          <w:szCs w:val="20"/>
          <w:shd w:val="clear" w:color="auto" w:fill="FFFFFF"/>
        </w:rPr>
        <w:t xml:space="preserve"> и доп. — Москва: Издательство </w:t>
      </w:r>
      <w:proofErr w:type="spellStart"/>
      <w:r w:rsidRPr="00F01265">
        <w:rPr>
          <w:color w:val="000000"/>
          <w:sz w:val="20"/>
          <w:szCs w:val="20"/>
          <w:shd w:val="clear" w:color="auto" w:fill="FFFFFF"/>
        </w:rPr>
        <w:t>Юрайт</w:t>
      </w:r>
      <w:proofErr w:type="spellEnd"/>
      <w:r w:rsidRPr="00F01265">
        <w:rPr>
          <w:color w:val="000000"/>
          <w:sz w:val="20"/>
          <w:szCs w:val="20"/>
          <w:shd w:val="clear" w:color="auto" w:fill="FFFFFF"/>
        </w:rPr>
        <w:t>, 2017. — 408 с.</w:t>
      </w:r>
    </w:p>
  </w:footnote>
  <w:footnote w:id="9">
    <w:p w:rsidR="00F01265" w:rsidRPr="00F01265" w:rsidRDefault="00F01265" w:rsidP="00F01265">
      <w:pPr>
        <w:jc w:val="both"/>
        <w:rPr>
          <w:sz w:val="20"/>
          <w:szCs w:val="20"/>
          <w:shd w:val="clear" w:color="auto" w:fill="FFFFFF"/>
        </w:rPr>
      </w:pPr>
      <w:r w:rsidRPr="00F01265">
        <w:rPr>
          <w:rStyle w:val="aa"/>
          <w:sz w:val="20"/>
          <w:szCs w:val="20"/>
        </w:rPr>
        <w:footnoteRef/>
      </w:r>
      <w:r w:rsidRPr="00F01265">
        <w:rPr>
          <w:sz w:val="20"/>
          <w:szCs w:val="20"/>
        </w:rPr>
        <w:t xml:space="preserve"> </w:t>
      </w:r>
      <w:proofErr w:type="spellStart"/>
      <w:r w:rsidRPr="00F01265">
        <w:rPr>
          <w:iCs/>
          <w:color w:val="000000"/>
          <w:sz w:val="20"/>
          <w:szCs w:val="20"/>
          <w:shd w:val="clear" w:color="auto" w:fill="FFFFFF"/>
        </w:rPr>
        <w:t>Мотышина</w:t>
      </w:r>
      <w:proofErr w:type="spellEnd"/>
      <w:r w:rsidRPr="00F01265">
        <w:rPr>
          <w:iCs/>
          <w:color w:val="000000"/>
          <w:sz w:val="20"/>
          <w:szCs w:val="20"/>
          <w:shd w:val="clear" w:color="auto" w:fill="FFFFFF"/>
        </w:rPr>
        <w:t>, М. С. </w:t>
      </w:r>
      <w:r w:rsidRPr="00F01265">
        <w:rPr>
          <w:color w:val="000000"/>
          <w:sz w:val="20"/>
          <w:szCs w:val="20"/>
          <w:shd w:val="clear" w:color="auto" w:fill="FFFFFF"/>
        </w:rPr>
        <w:t xml:space="preserve"> Менеджмент в социально-культурном сервисе и туризме: учебник для академического </w:t>
      </w:r>
      <w:proofErr w:type="spellStart"/>
      <w:r w:rsidRPr="00F01265">
        <w:rPr>
          <w:color w:val="000000"/>
          <w:sz w:val="20"/>
          <w:szCs w:val="20"/>
          <w:shd w:val="clear" w:color="auto" w:fill="FFFFFF"/>
        </w:rPr>
        <w:t>бакалавриата</w:t>
      </w:r>
      <w:proofErr w:type="spellEnd"/>
      <w:r w:rsidRPr="00F01265">
        <w:rPr>
          <w:color w:val="000000"/>
          <w:sz w:val="20"/>
          <w:szCs w:val="20"/>
          <w:shd w:val="clear" w:color="auto" w:fill="FFFFFF"/>
        </w:rPr>
        <w:t> / М. С. </w:t>
      </w:r>
      <w:proofErr w:type="spellStart"/>
      <w:r w:rsidRPr="00F01265">
        <w:rPr>
          <w:color w:val="000000"/>
          <w:sz w:val="20"/>
          <w:szCs w:val="20"/>
          <w:shd w:val="clear" w:color="auto" w:fill="FFFFFF"/>
        </w:rPr>
        <w:t>Мотышина</w:t>
      </w:r>
      <w:proofErr w:type="spellEnd"/>
      <w:r w:rsidRPr="00F01265">
        <w:rPr>
          <w:color w:val="000000"/>
          <w:sz w:val="20"/>
          <w:szCs w:val="20"/>
          <w:shd w:val="clear" w:color="auto" w:fill="FFFFFF"/>
        </w:rPr>
        <w:t>, А. С. Большаков, В. И. Михайлов; под редакцией М. С. </w:t>
      </w:r>
      <w:proofErr w:type="spellStart"/>
      <w:r w:rsidRPr="00F01265">
        <w:rPr>
          <w:color w:val="000000"/>
          <w:sz w:val="20"/>
          <w:szCs w:val="20"/>
          <w:shd w:val="clear" w:color="auto" w:fill="FFFFFF"/>
        </w:rPr>
        <w:t>Мотышиной</w:t>
      </w:r>
      <w:proofErr w:type="spellEnd"/>
      <w:r w:rsidRPr="00F01265">
        <w:rPr>
          <w:color w:val="000000"/>
          <w:sz w:val="20"/>
          <w:szCs w:val="20"/>
          <w:shd w:val="clear" w:color="auto" w:fill="FFFFFF"/>
        </w:rPr>
        <w:t xml:space="preserve">. — 2-е изд., </w:t>
      </w:r>
      <w:proofErr w:type="spellStart"/>
      <w:r w:rsidRPr="00F01265">
        <w:rPr>
          <w:color w:val="000000"/>
          <w:sz w:val="20"/>
          <w:szCs w:val="20"/>
          <w:shd w:val="clear" w:color="auto" w:fill="FFFFFF"/>
        </w:rPr>
        <w:t>испр</w:t>
      </w:r>
      <w:proofErr w:type="spellEnd"/>
      <w:proofErr w:type="gramStart"/>
      <w:r w:rsidRPr="00F01265">
        <w:rPr>
          <w:color w:val="000000"/>
          <w:sz w:val="20"/>
          <w:szCs w:val="20"/>
          <w:shd w:val="clear" w:color="auto" w:fill="FFFFFF"/>
        </w:rPr>
        <w:t>.</w:t>
      </w:r>
      <w:proofErr w:type="gramEnd"/>
      <w:r w:rsidRPr="00F01265">
        <w:rPr>
          <w:color w:val="000000"/>
          <w:sz w:val="20"/>
          <w:szCs w:val="20"/>
          <w:shd w:val="clear" w:color="auto" w:fill="FFFFFF"/>
        </w:rPr>
        <w:t xml:space="preserve"> и доп. — Москва: Издательство </w:t>
      </w:r>
      <w:proofErr w:type="spellStart"/>
      <w:r w:rsidRPr="00F01265">
        <w:rPr>
          <w:color w:val="000000"/>
          <w:sz w:val="20"/>
          <w:szCs w:val="20"/>
          <w:shd w:val="clear" w:color="auto" w:fill="FFFFFF"/>
        </w:rPr>
        <w:t>Юрайт</w:t>
      </w:r>
      <w:proofErr w:type="spellEnd"/>
      <w:r w:rsidRPr="00F01265">
        <w:rPr>
          <w:color w:val="000000"/>
          <w:sz w:val="20"/>
          <w:szCs w:val="20"/>
          <w:shd w:val="clear" w:color="auto" w:fill="FFFFFF"/>
        </w:rPr>
        <w:t>, 2019. — 282 с.</w:t>
      </w:r>
      <w:r w:rsidRPr="00F01265">
        <w:rPr>
          <w:color w:val="000000"/>
          <w:sz w:val="20"/>
          <w:szCs w:val="20"/>
          <w:shd w:val="clear" w:color="auto" w:fill="FFFFFF"/>
        </w:rPr>
        <w:t>-с. 109.</w:t>
      </w:r>
    </w:p>
  </w:footnote>
  <w:footnote w:id="10">
    <w:p w:rsidR="00A129A0" w:rsidRPr="00A129A0" w:rsidRDefault="00A129A0" w:rsidP="00A129A0">
      <w:pPr>
        <w:jc w:val="both"/>
        <w:rPr>
          <w:sz w:val="20"/>
          <w:szCs w:val="20"/>
          <w:shd w:val="clear" w:color="auto" w:fill="FFFFFF"/>
        </w:rPr>
      </w:pPr>
      <w:r w:rsidRPr="00A129A0">
        <w:rPr>
          <w:rStyle w:val="aa"/>
          <w:sz w:val="20"/>
          <w:szCs w:val="20"/>
        </w:rPr>
        <w:footnoteRef/>
      </w:r>
      <w:r w:rsidRPr="00A129A0">
        <w:rPr>
          <w:sz w:val="20"/>
          <w:szCs w:val="20"/>
        </w:rPr>
        <w:t xml:space="preserve"> </w:t>
      </w:r>
      <w:r w:rsidRPr="00A129A0">
        <w:rPr>
          <w:sz w:val="20"/>
          <w:szCs w:val="20"/>
          <w:shd w:val="clear" w:color="auto" w:fill="FFFFFF"/>
        </w:rPr>
        <w:t xml:space="preserve">Антипов, К. В. Основы рекламы: учебник / К. В. Антипов. - 4-е изд., стер. - Москва: Издательско-торговая корпорация «Дашков и </w:t>
      </w:r>
      <w:proofErr w:type="gramStart"/>
      <w:r w:rsidRPr="00A129A0">
        <w:rPr>
          <w:sz w:val="20"/>
          <w:szCs w:val="20"/>
          <w:shd w:val="clear" w:color="auto" w:fill="FFFFFF"/>
        </w:rPr>
        <w:t>К</w:t>
      </w:r>
      <w:proofErr w:type="gramEnd"/>
      <w:r w:rsidRPr="00A129A0">
        <w:rPr>
          <w:sz w:val="20"/>
          <w:szCs w:val="20"/>
          <w:shd w:val="clear" w:color="auto" w:fill="FFFFFF"/>
        </w:rPr>
        <w:t>°», 2020. - 326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AD6"/>
    <w:multiLevelType w:val="hybridMultilevel"/>
    <w:tmpl w:val="03866CBC"/>
    <w:lvl w:ilvl="0" w:tplc="FB28D1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151B5"/>
    <w:multiLevelType w:val="hybridMultilevel"/>
    <w:tmpl w:val="916ECDD4"/>
    <w:lvl w:ilvl="0" w:tplc="EB2EDAE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11C5469"/>
    <w:multiLevelType w:val="hybridMultilevel"/>
    <w:tmpl w:val="74787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3D13EC"/>
    <w:multiLevelType w:val="hybridMultilevel"/>
    <w:tmpl w:val="03866CBC"/>
    <w:lvl w:ilvl="0" w:tplc="FB28D1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CC72B1"/>
    <w:multiLevelType w:val="hybridMultilevel"/>
    <w:tmpl w:val="629EBF7E"/>
    <w:lvl w:ilvl="0" w:tplc="EB2EDA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AD3161"/>
    <w:multiLevelType w:val="hybridMultilevel"/>
    <w:tmpl w:val="25F47BC4"/>
    <w:lvl w:ilvl="0" w:tplc="EB2EDAE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C913A60"/>
    <w:multiLevelType w:val="hybridMultilevel"/>
    <w:tmpl w:val="19F07190"/>
    <w:lvl w:ilvl="0" w:tplc="2DC440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6F"/>
    <w:rsid w:val="0002557B"/>
    <w:rsid w:val="000358AE"/>
    <w:rsid w:val="000928E3"/>
    <w:rsid w:val="000C4E46"/>
    <w:rsid w:val="00115C61"/>
    <w:rsid w:val="001F7686"/>
    <w:rsid w:val="00233154"/>
    <w:rsid w:val="00234AE8"/>
    <w:rsid w:val="00237602"/>
    <w:rsid w:val="002D5309"/>
    <w:rsid w:val="00343092"/>
    <w:rsid w:val="00361AB1"/>
    <w:rsid w:val="00386BC9"/>
    <w:rsid w:val="003B4BCD"/>
    <w:rsid w:val="003D7658"/>
    <w:rsid w:val="004553C8"/>
    <w:rsid w:val="004A3996"/>
    <w:rsid w:val="004C5DCF"/>
    <w:rsid w:val="0051605E"/>
    <w:rsid w:val="00573B9C"/>
    <w:rsid w:val="005843D5"/>
    <w:rsid w:val="0058764D"/>
    <w:rsid w:val="005D6811"/>
    <w:rsid w:val="005F45D5"/>
    <w:rsid w:val="0063018A"/>
    <w:rsid w:val="006610D7"/>
    <w:rsid w:val="006726B8"/>
    <w:rsid w:val="006E2375"/>
    <w:rsid w:val="007160A2"/>
    <w:rsid w:val="007A449E"/>
    <w:rsid w:val="007A4BD1"/>
    <w:rsid w:val="00824A47"/>
    <w:rsid w:val="008278E6"/>
    <w:rsid w:val="008A0BD2"/>
    <w:rsid w:val="008B7DDA"/>
    <w:rsid w:val="008F58BD"/>
    <w:rsid w:val="0095168C"/>
    <w:rsid w:val="009778F0"/>
    <w:rsid w:val="00992593"/>
    <w:rsid w:val="00992DA4"/>
    <w:rsid w:val="009E1B6B"/>
    <w:rsid w:val="00A129A0"/>
    <w:rsid w:val="00A8476E"/>
    <w:rsid w:val="00AC3B6F"/>
    <w:rsid w:val="00B14704"/>
    <w:rsid w:val="00B74E3A"/>
    <w:rsid w:val="00B813E5"/>
    <w:rsid w:val="00B96141"/>
    <w:rsid w:val="00BB3021"/>
    <w:rsid w:val="00BC1534"/>
    <w:rsid w:val="00BF46A1"/>
    <w:rsid w:val="00BF6C08"/>
    <w:rsid w:val="00C20C8D"/>
    <w:rsid w:val="00C278CC"/>
    <w:rsid w:val="00CC00C4"/>
    <w:rsid w:val="00CF15DF"/>
    <w:rsid w:val="00D10A28"/>
    <w:rsid w:val="00D27E88"/>
    <w:rsid w:val="00D73180"/>
    <w:rsid w:val="00D83FC9"/>
    <w:rsid w:val="00DF1C98"/>
    <w:rsid w:val="00DF244B"/>
    <w:rsid w:val="00E1469F"/>
    <w:rsid w:val="00E203DD"/>
    <w:rsid w:val="00E35A23"/>
    <w:rsid w:val="00E95034"/>
    <w:rsid w:val="00ED02DE"/>
    <w:rsid w:val="00ED18C0"/>
    <w:rsid w:val="00ED7367"/>
    <w:rsid w:val="00EE1289"/>
    <w:rsid w:val="00EE1A4B"/>
    <w:rsid w:val="00EF10FF"/>
    <w:rsid w:val="00F01265"/>
    <w:rsid w:val="00F13AD0"/>
    <w:rsid w:val="00F144CE"/>
    <w:rsid w:val="00F45E90"/>
    <w:rsid w:val="00FA3B80"/>
    <w:rsid w:val="00FB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42B8"/>
  <w15:chartTrackingRefBased/>
  <w15:docId w15:val="{CDE48FB9-042A-4E02-996D-B8680385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AB1"/>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726B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References,List Paragraph,ааа"/>
    <w:basedOn w:val="a"/>
    <w:link w:val="a4"/>
    <w:uiPriority w:val="34"/>
    <w:qFormat/>
    <w:rsid w:val="00361AB1"/>
    <w:pPr>
      <w:ind w:left="720"/>
      <w:contextualSpacing/>
    </w:pPr>
  </w:style>
  <w:style w:type="character" w:styleId="a5">
    <w:name w:val="Strong"/>
    <w:basedOn w:val="a0"/>
    <w:uiPriority w:val="22"/>
    <w:qFormat/>
    <w:rsid w:val="003B4BCD"/>
    <w:rPr>
      <w:b/>
      <w:bCs/>
    </w:rPr>
  </w:style>
  <w:style w:type="character" w:customStyle="1" w:styleId="20">
    <w:name w:val="Заголовок 2 Знак"/>
    <w:basedOn w:val="a0"/>
    <w:link w:val="2"/>
    <w:uiPriority w:val="9"/>
    <w:rsid w:val="006726B8"/>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6726B8"/>
    <w:rPr>
      <w:color w:val="0563C1" w:themeColor="hyperlink"/>
      <w:u w:val="single"/>
    </w:rPr>
  </w:style>
  <w:style w:type="table" w:styleId="a7">
    <w:name w:val="Table Grid"/>
    <w:basedOn w:val="a1"/>
    <w:uiPriority w:val="99"/>
    <w:rsid w:val="006726B8"/>
    <w:pPr>
      <w:spacing w:line="240" w:lineRule="auto"/>
      <w:ind w:firstLine="851"/>
    </w:pPr>
    <w:rPr>
      <w:rFonts w:ascii="Times New Roman" w:hAnsi="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ПАРАГРАФ Знак,References Знак,List Paragraph Знак,ааа Знак"/>
    <w:link w:val="a3"/>
    <w:uiPriority w:val="34"/>
    <w:locked/>
    <w:rsid w:val="006726B8"/>
    <w:rPr>
      <w:rFonts w:ascii="Times New Roman" w:eastAsia="Times New Roman" w:hAnsi="Times New Roman" w:cs="Times New Roman"/>
      <w:sz w:val="24"/>
      <w:szCs w:val="24"/>
      <w:lang w:eastAsia="ru-RU"/>
    </w:rPr>
  </w:style>
  <w:style w:type="paragraph" w:customStyle="1" w:styleId="Standard">
    <w:name w:val="Standard"/>
    <w:rsid w:val="001F7686"/>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de-DE" w:eastAsia="ja-JP" w:bidi="fa-IR"/>
    </w:rPr>
  </w:style>
  <w:style w:type="paragraph" w:styleId="a8">
    <w:name w:val="footnote text"/>
    <w:basedOn w:val="a"/>
    <w:link w:val="a9"/>
    <w:uiPriority w:val="99"/>
    <w:semiHidden/>
    <w:unhideWhenUsed/>
    <w:rsid w:val="000C4E46"/>
    <w:rPr>
      <w:sz w:val="20"/>
      <w:szCs w:val="20"/>
    </w:rPr>
  </w:style>
  <w:style w:type="character" w:customStyle="1" w:styleId="a9">
    <w:name w:val="Текст сноски Знак"/>
    <w:basedOn w:val="a0"/>
    <w:link w:val="a8"/>
    <w:uiPriority w:val="99"/>
    <w:semiHidden/>
    <w:rsid w:val="000C4E46"/>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C4E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15239">
      <w:bodyDiv w:val="1"/>
      <w:marLeft w:val="0"/>
      <w:marRight w:val="0"/>
      <w:marTop w:val="0"/>
      <w:marBottom w:val="0"/>
      <w:divBdr>
        <w:top w:val="none" w:sz="0" w:space="0" w:color="auto"/>
        <w:left w:val="none" w:sz="0" w:space="0" w:color="auto"/>
        <w:bottom w:val="none" w:sz="0" w:space="0" w:color="auto"/>
        <w:right w:val="none" w:sz="0" w:space="0" w:color="auto"/>
      </w:divBdr>
      <w:divsChild>
        <w:div w:id="958030832">
          <w:marLeft w:val="0"/>
          <w:marRight w:val="0"/>
          <w:marTop w:val="180"/>
          <w:marBottom w:val="0"/>
          <w:divBdr>
            <w:top w:val="none" w:sz="0" w:space="0" w:color="auto"/>
            <w:left w:val="none" w:sz="0" w:space="0" w:color="auto"/>
            <w:bottom w:val="none" w:sz="0" w:space="0" w:color="auto"/>
            <w:right w:val="none" w:sz="0" w:space="0" w:color="auto"/>
          </w:divBdr>
        </w:div>
        <w:div w:id="476921558">
          <w:marLeft w:val="0"/>
          <w:marRight w:val="0"/>
          <w:marTop w:val="60"/>
          <w:marBottom w:val="0"/>
          <w:divBdr>
            <w:top w:val="none" w:sz="0" w:space="0" w:color="auto"/>
            <w:left w:val="none" w:sz="0" w:space="0" w:color="auto"/>
            <w:bottom w:val="none" w:sz="0" w:space="0" w:color="auto"/>
            <w:right w:val="none" w:sz="0" w:space="0" w:color="auto"/>
          </w:divBdr>
        </w:div>
        <w:div w:id="923415262">
          <w:marLeft w:val="0"/>
          <w:marRight w:val="0"/>
          <w:marTop w:val="60"/>
          <w:marBottom w:val="0"/>
          <w:divBdr>
            <w:top w:val="none" w:sz="0" w:space="0" w:color="auto"/>
            <w:left w:val="none" w:sz="0" w:space="0" w:color="auto"/>
            <w:bottom w:val="none" w:sz="0" w:space="0" w:color="auto"/>
            <w:right w:val="none" w:sz="0" w:space="0" w:color="auto"/>
          </w:divBdr>
        </w:div>
        <w:div w:id="174271680">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5.biz/terms/r1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ubbleChart>
        <c:varyColors val="0"/>
        <c:ser>
          <c:idx val="0"/>
          <c:order val="0"/>
          <c:tx>
            <c:strRef>
              <c:f>Лист1!$B$1</c:f>
              <c:strCache>
                <c:ptCount val="1"/>
                <c:pt idx="0">
                  <c:v>Количество КСР</c:v>
                </c:pt>
              </c:strCache>
            </c:strRef>
          </c:tx>
          <c:spPr>
            <a:solidFill>
              <a:schemeClr val="accent1">
                <a:alpha val="75000"/>
              </a:schemeClr>
            </a:solidFill>
            <a:ln>
              <a:noFill/>
            </a:ln>
            <a:effectLst/>
          </c:spPr>
          <c:invertIfNegative val="0"/>
          <c:dLbls>
            <c:dLbl>
              <c:idx val="0"/>
              <c:tx>
                <c:rich>
                  <a:bodyPr/>
                  <a:lstStyle/>
                  <a:p>
                    <a:r>
                      <a:rPr lang="ru-RU"/>
                      <a:t>Московская обл</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FB-45CE-A24B-064A1B3870EF}"/>
                </c:ext>
              </c:extLst>
            </c:dLbl>
            <c:dLbl>
              <c:idx val="1"/>
              <c:tx>
                <c:rich>
                  <a:bodyPr/>
                  <a:lstStyle/>
                  <a:p>
                    <a:r>
                      <a:rPr lang="ru-RU"/>
                      <a:t>Краснодарский край</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FB-45CE-A24B-064A1B3870E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Лист1!$A$2:$A$3</c:f>
              <c:numCache>
                <c:formatCode>General</c:formatCode>
                <c:ptCount val="2"/>
                <c:pt idx="0">
                  <c:v>11.5</c:v>
                </c:pt>
                <c:pt idx="1">
                  <c:v>12</c:v>
                </c:pt>
              </c:numCache>
            </c:numRef>
          </c:xVal>
          <c:yVal>
            <c:numRef>
              <c:f>Лист1!$B$2:$B$3</c:f>
              <c:numCache>
                <c:formatCode>General</c:formatCode>
                <c:ptCount val="2"/>
                <c:pt idx="0">
                  <c:v>317</c:v>
                </c:pt>
                <c:pt idx="1">
                  <c:v>5124</c:v>
                </c:pt>
              </c:numCache>
            </c:numRef>
          </c:yVal>
          <c:bubbleSize>
            <c:numRef>
              <c:f>Лист1!$C$2:$C$3</c:f>
              <c:numCache>
                <c:formatCode>General</c:formatCode>
                <c:ptCount val="2"/>
                <c:pt idx="0">
                  <c:v>4</c:v>
                </c:pt>
                <c:pt idx="1">
                  <c:v>5</c:v>
                </c:pt>
              </c:numCache>
            </c:numRef>
          </c:bubbleSize>
          <c:bubble3D val="0"/>
          <c:extLst>
            <c:ext xmlns:c16="http://schemas.microsoft.com/office/drawing/2014/chart" uri="{C3380CC4-5D6E-409C-BE32-E72D297353CC}">
              <c16:uniqueId val="{00000000-AEFB-45CE-A24B-064A1B3870EF}"/>
            </c:ext>
          </c:extLst>
        </c:ser>
        <c:dLbls>
          <c:showLegendKey val="0"/>
          <c:showVal val="0"/>
          <c:showCatName val="0"/>
          <c:showSerName val="0"/>
          <c:showPercent val="0"/>
          <c:showBubbleSize val="0"/>
        </c:dLbls>
        <c:bubbleScale val="100"/>
        <c:showNegBubbles val="0"/>
        <c:axId val="630587328"/>
        <c:axId val="630584048"/>
      </c:bubbleChart>
      <c:valAx>
        <c:axId val="630587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Туристический поток, млн. чел.</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30584048"/>
        <c:crosses val="autoZero"/>
        <c:crossBetween val="midCat"/>
      </c:valAx>
      <c:valAx>
        <c:axId val="63058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КСР, ед.</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305873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ubbleChart>
        <c:varyColors val="0"/>
        <c:ser>
          <c:idx val="0"/>
          <c:order val="0"/>
          <c:tx>
            <c:strRef>
              <c:f>Лист1!$B$1</c:f>
              <c:strCache>
                <c:ptCount val="1"/>
                <c:pt idx="0">
                  <c:v>Столбец2</c:v>
                </c:pt>
              </c:strCache>
            </c:strRef>
          </c:tx>
          <c:spPr>
            <a:solidFill>
              <a:schemeClr val="accent1">
                <a:alpha val="75000"/>
              </a:schemeClr>
            </a:solidFill>
            <a:ln>
              <a:noFill/>
            </a:ln>
            <a:effectLst/>
          </c:spPr>
          <c:invertIfNegative val="0"/>
          <c:dLbls>
            <c:dLbl>
              <c:idx val="0"/>
              <c:tx>
                <c:rich>
                  <a:bodyPr/>
                  <a:lstStyle/>
                  <a:p>
                    <a:r>
                      <a:rPr lang="ru-RU"/>
                      <a:t>Московская обл</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A8-4E2A-877B-7CF2E372C5B7}"/>
                </c:ext>
              </c:extLst>
            </c:dLbl>
            <c:dLbl>
              <c:idx val="1"/>
              <c:tx>
                <c:rich>
                  <a:bodyPr/>
                  <a:lstStyle/>
                  <a:p>
                    <a:r>
                      <a:rPr lang="ru-RU"/>
                      <a:t>Краснодарский край</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A8-4E2A-877B-7CF2E372C5B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Лист1!$A$2:$A$3</c:f>
              <c:numCache>
                <c:formatCode>General</c:formatCode>
                <c:ptCount val="2"/>
                <c:pt idx="0">
                  <c:v>107.27</c:v>
                </c:pt>
                <c:pt idx="1">
                  <c:v>109.95</c:v>
                </c:pt>
              </c:numCache>
            </c:numRef>
          </c:xVal>
          <c:yVal>
            <c:numRef>
              <c:f>Лист1!$B$2:$B$3</c:f>
              <c:numCache>
                <c:formatCode>General</c:formatCode>
                <c:ptCount val="2"/>
                <c:pt idx="0">
                  <c:v>5.9</c:v>
                </c:pt>
                <c:pt idx="1">
                  <c:v>19.399999999999999</c:v>
                </c:pt>
              </c:numCache>
            </c:numRef>
          </c:yVal>
          <c:bubbleSize>
            <c:numRef>
              <c:f>Лист1!$C$2:$C$3</c:f>
              <c:numCache>
                <c:formatCode>General</c:formatCode>
                <c:ptCount val="2"/>
                <c:pt idx="0">
                  <c:v>4</c:v>
                </c:pt>
                <c:pt idx="1">
                  <c:v>5</c:v>
                </c:pt>
              </c:numCache>
            </c:numRef>
          </c:bubbleSize>
          <c:bubble3D val="0"/>
          <c:extLst>
            <c:ext xmlns:c16="http://schemas.microsoft.com/office/drawing/2014/chart" uri="{C3380CC4-5D6E-409C-BE32-E72D297353CC}">
              <c16:uniqueId val="{00000002-5EA8-4E2A-877B-7CF2E372C5B7}"/>
            </c:ext>
          </c:extLst>
        </c:ser>
        <c:dLbls>
          <c:showLegendKey val="0"/>
          <c:showVal val="0"/>
          <c:showCatName val="0"/>
          <c:showSerName val="0"/>
          <c:showPercent val="0"/>
          <c:showBubbleSize val="0"/>
        </c:dLbls>
        <c:bubbleScale val="100"/>
        <c:showNegBubbles val="0"/>
        <c:axId val="630587328"/>
        <c:axId val="630584048"/>
      </c:bubbleChart>
      <c:valAx>
        <c:axId val="630587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ИПЦ,</a:t>
                </a:r>
                <a:r>
                  <a:rPr lang="ru-RU" baseline="0"/>
                  <a:t> %</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30584048"/>
        <c:crosses val="autoZero"/>
        <c:crossBetween val="midCat"/>
      </c:valAx>
      <c:valAx>
        <c:axId val="63058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0" i="0" baseline="0">
                    <a:effectLst/>
                  </a:rPr>
                  <a:t>Кол-во культурных объектов, тыс. ед.</a:t>
                </a:r>
                <a:endParaRPr lang="ru-RU"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30587328"/>
        <c:crosses val="autoZero"/>
        <c:crossBetween val="midCat"/>
      </c:valAx>
      <c:spPr>
        <a:noFill/>
        <a:ln>
          <a:noFill/>
        </a:ln>
        <a:effectLst/>
      </c:spPr>
    </c:plotArea>
    <c:plotVisOnly val="1"/>
    <c:dispBlanksAs val="gap"/>
    <c:showDLblsOverMax val="0"/>
  </c:chart>
  <c:spPr>
    <a:solidFill>
      <a:schemeClr val="bg1">
        <a:alpha val="0"/>
      </a:schemeClr>
    </a:solidFill>
    <a:ln w="3175" cap="flat" cmpd="sng" algn="ctr">
      <a:solidFill>
        <a:schemeClr val="bg2">
          <a:lumMod val="90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ubbleChart>
        <c:varyColors val="0"/>
        <c:ser>
          <c:idx val="0"/>
          <c:order val="0"/>
          <c:tx>
            <c:strRef>
              <c:f>Лист1!$B$1</c:f>
              <c:strCache>
                <c:ptCount val="1"/>
                <c:pt idx="0">
                  <c:v>Значения Y</c:v>
                </c:pt>
              </c:strCache>
            </c:strRef>
          </c:tx>
          <c:spPr>
            <a:solidFill>
              <a:schemeClr val="accent1">
                <a:alpha val="75000"/>
              </a:schemeClr>
            </a:solidFill>
            <a:ln>
              <a:noFill/>
            </a:ln>
            <a:effectLst/>
          </c:spPr>
          <c:invertIfNegative val="0"/>
          <c:dPt>
            <c:idx val="0"/>
            <c:invertIfNegative val="0"/>
            <c:bubble3D val="0"/>
            <c:spPr>
              <a:solidFill>
                <a:schemeClr val="accent4">
                  <a:lumMod val="75000"/>
                </a:schemeClr>
              </a:solidFill>
              <a:ln>
                <a:noFill/>
              </a:ln>
              <a:effectLst/>
            </c:spPr>
            <c:extLst>
              <c:ext xmlns:c16="http://schemas.microsoft.com/office/drawing/2014/chart" uri="{C3380CC4-5D6E-409C-BE32-E72D297353CC}">
                <c16:uniqueId val="{00000001-4C4A-4973-AFEC-21B5EFEE8BA9}"/>
              </c:ext>
            </c:extLst>
          </c:dPt>
          <c:dPt>
            <c:idx val="1"/>
            <c:invertIfNegative val="0"/>
            <c:bubble3D val="0"/>
            <c:spPr>
              <a:solidFill>
                <a:schemeClr val="accent5">
                  <a:lumMod val="75000"/>
                </a:schemeClr>
              </a:solidFill>
              <a:ln>
                <a:noFill/>
              </a:ln>
              <a:effectLst/>
            </c:spPr>
            <c:extLst>
              <c:ext xmlns:c16="http://schemas.microsoft.com/office/drawing/2014/chart" uri="{C3380CC4-5D6E-409C-BE32-E72D297353CC}">
                <c16:uniqueId val="{00000003-4C4A-4973-AFEC-21B5EFEE8BA9}"/>
              </c:ext>
            </c:extLst>
          </c:dPt>
          <c:dPt>
            <c:idx val="2"/>
            <c:invertIfNegative val="0"/>
            <c:bubble3D val="0"/>
            <c:spPr>
              <a:solidFill>
                <a:srgbClr val="C00000"/>
              </a:solidFill>
              <a:ln>
                <a:noFill/>
              </a:ln>
              <a:effectLst/>
            </c:spPr>
            <c:extLst>
              <c:ext xmlns:c16="http://schemas.microsoft.com/office/drawing/2014/chart" uri="{C3380CC4-5D6E-409C-BE32-E72D297353CC}">
                <c16:uniqueId val="{00000005-4C4A-4973-AFEC-21B5EFEE8BA9}"/>
              </c:ext>
            </c:extLst>
          </c:dPt>
          <c:dPt>
            <c:idx val="3"/>
            <c:invertIfNegative val="0"/>
            <c:bubble3D val="0"/>
            <c:spPr>
              <a:solidFill>
                <a:schemeClr val="accent4">
                  <a:lumMod val="20000"/>
                  <a:lumOff val="80000"/>
                </a:schemeClr>
              </a:solidFill>
              <a:ln>
                <a:noFill/>
              </a:ln>
              <a:effectLst/>
            </c:spPr>
            <c:extLst>
              <c:ext xmlns:c16="http://schemas.microsoft.com/office/drawing/2014/chart" uri="{C3380CC4-5D6E-409C-BE32-E72D297353CC}">
                <c16:uniqueId val="{00000007-4C4A-4973-AFEC-21B5EFEE8BA9}"/>
              </c:ext>
            </c:extLst>
          </c:dPt>
          <c:dPt>
            <c:idx val="4"/>
            <c:invertIfNegative val="0"/>
            <c:bubble3D val="0"/>
            <c:spPr>
              <a:solidFill>
                <a:schemeClr val="accent2">
                  <a:lumMod val="75000"/>
                </a:schemeClr>
              </a:solidFill>
              <a:ln>
                <a:noFill/>
              </a:ln>
              <a:effectLst/>
            </c:spPr>
            <c:extLst>
              <c:ext xmlns:c16="http://schemas.microsoft.com/office/drawing/2014/chart" uri="{C3380CC4-5D6E-409C-BE32-E72D297353CC}">
                <c16:uniqueId val="{00000009-4C4A-4973-AFEC-21B5EFEE8BA9}"/>
              </c:ext>
            </c:extLst>
          </c:dPt>
          <c:dPt>
            <c:idx val="5"/>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B-4C4A-4973-AFEC-21B5EFEE8BA9}"/>
              </c:ext>
            </c:extLst>
          </c:dPt>
          <c:dPt>
            <c:idx val="6"/>
            <c:invertIfNegative val="0"/>
            <c:bubble3D val="0"/>
            <c:spPr>
              <a:solidFill>
                <a:schemeClr val="accent6">
                  <a:lumMod val="75000"/>
                </a:schemeClr>
              </a:solidFill>
              <a:ln>
                <a:noFill/>
              </a:ln>
              <a:effectLst/>
            </c:spPr>
            <c:extLst>
              <c:ext xmlns:c16="http://schemas.microsoft.com/office/drawing/2014/chart" uri="{C3380CC4-5D6E-409C-BE32-E72D297353CC}">
                <c16:uniqueId val="{0000000D-4C4A-4973-AFEC-21B5EFEE8BA9}"/>
              </c:ext>
            </c:extLst>
          </c:dPt>
          <c:dPt>
            <c:idx val="7"/>
            <c:invertIfNegative val="0"/>
            <c:bubble3D val="0"/>
            <c:spPr>
              <a:solidFill>
                <a:srgbClr val="7030A0"/>
              </a:solidFill>
              <a:ln>
                <a:noFill/>
              </a:ln>
              <a:effectLst/>
            </c:spPr>
            <c:extLst>
              <c:ext xmlns:c16="http://schemas.microsoft.com/office/drawing/2014/chart" uri="{C3380CC4-5D6E-409C-BE32-E72D297353CC}">
                <c16:uniqueId val="{0000000F-4C4A-4973-AFEC-21B5EFEE8BA9}"/>
              </c:ext>
            </c:extLst>
          </c:dPt>
          <c:dLbls>
            <c:dLbl>
              <c:idx val="0"/>
              <c:tx>
                <c:rich>
                  <a:bodyPr/>
                  <a:lstStyle/>
                  <a:p>
                    <a:r>
                      <a:rPr lang="ru-RU"/>
                      <a:t>А</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4A-4973-AFEC-21B5EFEE8BA9}"/>
                </c:ext>
              </c:extLst>
            </c:dLbl>
            <c:dLbl>
              <c:idx val="1"/>
              <c:tx>
                <c:rich>
                  <a:bodyPr/>
                  <a:lstStyle/>
                  <a:p>
                    <a:r>
                      <a:rPr lang="ru-RU"/>
                      <a:t>Б</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4A-4973-AFEC-21B5EFEE8BA9}"/>
                </c:ext>
              </c:extLst>
            </c:dLbl>
            <c:dLbl>
              <c:idx val="2"/>
              <c:layout>
                <c:manualLayout>
                  <c:x val="-8.7837015164771076E-2"/>
                  <c:y val="0"/>
                </c:manualLayout>
              </c:layout>
              <c:tx>
                <c:rich>
                  <a:bodyPr/>
                  <a:lstStyle/>
                  <a:p>
                    <a:r>
                      <a:rPr lang="ru-RU"/>
                      <a:t>В</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4A-4973-AFEC-21B5EFEE8BA9}"/>
                </c:ext>
              </c:extLst>
            </c:dLbl>
            <c:dLbl>
              <c:idx val="3"/>
              <c:layout>
                <c:manualLayout>
                  <c:x val="-8.8786089238845151E-2"/>
                  <c:y val="-3.968212306794984E-3"/>
                </c:manualLayout>
              </c:layout>
              <c:tx>
                <c:rich>
                  <a:bodyPr/>
                  <a:lstStyle/>
                  <a:p>
                    <a:r>
                      <a:rPr lang="ru-RU"/>
                      <a:t>Г</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4A-4973-AFEC-21B5EFEE8BA9}"/>
                </c:ext>
              </c:extLst>
            </c:dLbl>
            <c:dLbl>
              <c:idx val="4"/>
              <c:layout>
                <c:manualLayout>
                  <c:x val="-4.7038495188101485E-2"/>
                  <c:y val="3.0423155438903469E-2"/>
                </c:manualLayout>
              </c:layout>
              <c:tx>
                <c:rich>
                  <a:bodyPr/>
                  <a:lstStyle/>
                  <a:p>
                    <a:r>
                      <a:rPr lang="ru-RU"/>
                      <a:t>Д</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4A-4973-AFEC-21B5EFEE8BA9}"/>
                </c:ext>
              </c:extLst>
            </c:dLbl>
            <c:dLbl>
              <c:idx val="5"/>
              <c:tx>
                <c:rich>
                  <a:bodyPr/>
                  <a:lstStyle/>
                  <a:p>
                    <a:r>
                      <a:rPr lang="ru-RU"/>
                      <a:t>Е</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4A-4973-AFEC-21B5EFEE8BA9}"/>
                </c:ext>
              </c:extLst>
            </c:dLbl>
            <c:dLbl>
              <c:idx val="6"/>
              <c:tx>
                <c:rich>
                  <a:bodyPr/>
                  <a:lstStyle/>
                  <a:p>
                    <a:r>
                      <a:rPr lang="ru-RU"/>
                      <a:t>Ж</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4A-4973-AFEC-21B5EFEE8BA9}"/>
                </c:ext>
              </c:extLst>
            </c:dLbl>
            <c:dLbl>
              <c:idx val="7"/>
              <c:tx>
                <c:rich>
                  <a:bodyPr/>
                  <a:lstStyle/>
                  <a:p>
                    <a:r>
                      <a:rPr lang="ru-RU"/>
                      <a:t>З</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C4A-4973-AFEC-21B5EFEE8BA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Лист1!$A$2:$A$9</c:f>
              <c:numCache>
                <c:formatCode>General</c:formatCode>
                <c:ptCount val="8"/>
                <c:pt idx="0">
                  <c:v>29</c:v>
                </c:pt>
                <c:pt idx="1">
                  <c:v>41</c:v>
                </c:pt>
              </c:numCache>
            </c:numRef>
          </c:xVal>
          <c:yVal>
            <c:numRef>
              <c:f>Лист1!$B$2:$B$9</c:f>
              <c:numCache>
                <c:formatCode>General</c:formatCode>
                <c:ptCount val="8"/>
                <c:pt idx="0">
                  <c:v>7</c:v>
                </c:pt>
                <c:pt idx="1">
                  <c:v>4</c:v>
                </c:pt>
              </c:numCache>
            </c:numRef>
          </c:yVal>
          <c:bubbleSize>
            <c:numRef>
              <c:f>Лист1!$C$2:$C$9</c:f>
              <c:numCache>
                <c:formatCode>General</c:formatCode>
                <c:ptCount val="8"/>
                <c:pt idx="0">
                  <c:v>1</c:v>
                </c:pt>
                <c:pt idx="1">
                  <c:v>2</c:v>
                </c:pt>
              </c:numCache>
            </c:numRef>
          </c:bubbleSize>
          <c:bubble3D val="0"/>
          <c:extLst>
            <c:ext xmlns:c16="http://schemas.microsoft.com/office/drawing/2014/chart" uri="{C3380CC4-5D6E-409C-BE32-E72D297353CC}">
              <c16:uniqueId val="{00000010-4C4A-4973-AFEC-21B5EFEE8BA9}"/>
            </c:ext>
          </c:extLst>
        </c:ser>
        <c:dLbls>
          <c:dLblPos val="ctr"/>
          <c:showLegendKey val="0"/>
          <c:showVal val="1"/>
          <c:showCatName val="0"/>
          <c:showSerName val="0"/>
          <c:showPercent val="0"/>
          <c:showBubbleSize val="0"/>
        </c:dLbls>
        <c:bubbleScale val="100"/>
        <c:showNegBubbles val="0"/>
        <c:axId val="378824328"/>
        <c:axId val="378824656"/>
      </c:bubbleChart>
      <c:valAx>
        <c:axId val="378824328"/>
        <c:scaling>
          <c:orientation val="minMax"/>
          <c:max val="1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Относительная доля рынка</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8824656"/>
        <c:crosses val="autoZero"/>
        <c:crossBetween val="midCat"/>
      </c:valAx>
      <c:valAx>
        <c:axId val="378824656"/>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Темп роста</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8824328"/>
        <c:crossesAt val="100"/>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0.05689</cdr:x>
      <cdr:y>0.26803</cdr:y>
    </cdr:from>
    <cdr:to>
      <cdr:x>0.91617</cdr:x>
      <cdr:y>0.26803</cdr:y>
    </cdr:to>
    <cdr:cxnSp macro="">
      <cdr:nvCxnSpPr>
        <cdr:cNvPr id="3" name="Прямая соединительная линия 2"/>
        <cdr:cNvCxnSpPr/>
      </cdr:nvCxnSpPr>
      <cdr:spPr>
        <a:xfrm xmlns:a="http://schemas.openxmlformats.org/drawingml/2006/main" flipH="1">
          <a:off x="308345" y="903767"/>
          <a:ext cx="465706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FB8D-632E-4DBE-BC6D-C7DB74BC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9</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dc:creator>
  <cp:keywords/>
  <dc:description/>
  <cp:lastModifiedBy>Yulia</cp:lastModifiedBy>
  <cp:revision>65</cp:revision>
  <dcterms:created xsi:type="dcterms:W3CDTF">2022-05-06T08:20:00Z</dcterms:created>
  <dcterms:modified xsi:type="dcterms:W3CDTF">2022-05-08T16:33:00Z</dcterms:modified>
</cp:coreProperties>
</file>